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C9" w:rsidRDefault="00F12EC9" w:rsidP="0071663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霸州市民政局</w:t>
      </w:r>
      <w:r w:rsidR="008D0A00">
        <w:rPr>
          <w:rFonts w:ascii="方正小标宋简体" w:eastAsia="方正小标宋简体" w:hAnsi="方正小标宋简体" w:cs="方正小标宋简体"/>
          <w:sz w:val="44"/>
          <w:szCs w:val="44"/>
        </w:rPr>
        <w:t>2019年</w:t>
      </w:r>
      <w:r>
        <w:rPr>
          <w:rFonts w:ascii="方正小标宋简体" w:eastAsia="方正小标宋简体" w:hAnsi="方正小标宋简体" w:cs="方正小标宋简体" w:hint="eastAsia"/>
          <w:sz w:val="44"/>
          <w:szCs w:val="44"/>
        </w:rPr>
        <w:t>部门预算信息公开</w:t>
      </w:r>
    </w:p>
    <w:p w:rsidR="00F12EC9" w:rsidRDefault="00F12EC9">
      <w:pPr>
        <w:ind w:firstLineChars="200" w:firstLine="640"/>
        <w:rPr>
          <w:rFonts w:ascii="仿宋" w:eastAsia="仿宋" w:hAnsi="仿宋"/>
          <w:sz w:val="32"/>
          <w:szCs w:val="32"/>
        </w:rPr>
      </w:pPr>
      <w:r>
        <w:rPr>
          <w:rFonts w:ascii="仿宋" w:eastAsia="仿宋" w:hAnsi="仿宋" w:hint="eastAsia"/>
          <w:sz w:val="32"/>
          <w:szCs w:val="32"/>
        </w:rPr>
        <w:t>按照《预算法》、《地方预决算公开操作规程》和《河北省省级预算公开办法》规定，现将霸州市民政局</w:t>
      </w:r>
      <w:r w:rsidR="008D0A00">
        <w:rPr>
          <w:rFonts w:ascii="仿宋" w:eastAsia="仿宋" w:hAnsi="仿宋"/>
          <w:sz w:val="32"/>
          <w:szCs w:val="32"/>
        </w:rPr>
        <w:t>2019年</w:t>
      </w:r>
      <w:r>
        <w:rPr>
          <w:rFonts w:ascii="仿宋" w:eastAsia="仿宋" w:hAnsi="仿宋" w:hint="eastAsia"/>
          <w:sz w:val="32"/>
          <w:szCs w:val="32"/>
        </w:rPr>
        <w:t>部门预算公开如下：</w:t>
      </w:r>
    </w:p>
    <w:p w:rsidR="00F12EC9" w:rsidRDefault="00F12EC9">
      <w:pPr>
        <w:ind w:firstLineChars="200" w:firstLine="640"/>
        <w:rPr>
          <w:rFonts w:ascii="黑体" w:eastAsia="黑体" w:hAnsi="黑体"/>
          <w:sz w:val="32"/>
          <w:szCs w:val="32"/>
        </w:rPr>
      </w:pPr>
      <w:r>
        <w:rPr>
          <w:rFonts w:ascii="黑体" w:eastAsia="黑体" w:hAnsi="黑体" w:hint="eastAsia"/>
          <w:sz w:val="32"/>
          <w:szCs w:val="32"/>
        </w:rPr>
        <w:t>一、部门职责及机构设置情况</w:t>
      </w:r>
    </w:p>
    <w:p w:rsidR="00F12EC9" w:rsidRDefault="00F12EC9">
      <w:pPr>
        <w:ind w:firstLineChars="200" w:firstLine="643"/>
        <w:rPr>
          <w:rFonts w:ascii="楷体" w:eastAsia="楷体" w:hAnsi="楷体"/>
          <w:b/>
          <w:sz w:val="32"/>
          <w:szCs w:val="32"/>
        </w:rPr>
      </w:pPr>
      <w:r>
        <w:rPr>
          <w:rFonts w:ascii="楷体" w:eastAsia="楷体" w:hAnsi="楷体" w:hint="eastAsia"/>
          <w:b/>
          <w:sz w:val="32"/>
          <w:szCs w:val="32"/>
        </w:rPr>
        <w:t>部门职责：</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（一）研究制定全市民政事业发展战略，编制民政事业发展规划和年度计划</w:t>
      </w:r>
      <w:r>
        <w:rPr>
          <w:rFonts w:ascii="仿宋" w:eastAsia="仿宋" w:hAnsi="仿宋"/>
          <w:sz w:val="32"/>
          <w:szCs w:val="32"/>
        </w:rPr>
        <w:t>;</w:t>
      </w:r>
      <w:r>
        <w:rPr>
          <w:rFonts w:ascii="仿宋" w:eastAsia="仿宋" w:hAnsi="仿宋" w:hint="eastAsia"/>
          <w:sz w:val="32"/>
          <w:szCs w:val="32"/>
        </w:rPr>
        <w:t>负责全市民政信息、宣传、信访和政策理论研究工作；负责全市民政行政执法、监督检查、行政复议工作。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二）负责全市性社会团体的审批登记管理和年度检查，根据中央、省及有关部门法律、法规和规章的规定，拟定有关管理规定和办法；监督社团活动，查处社团组织违法行为和未登记而以社团名义开展活动的非法组织。</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（三）负责市直单位、驻霸中省直单位所属和挂靠的民办非企业单位和年度检查；查处民办非企业单位违法行为和未登记的民办非企业单位。</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lastRenderedPageBreak/>
        <w:t>（四）组织指导全市拥军优属、拥政爱民活动；负责全市各类优抚对象优待、抚恤、补助和国家机关工作人员伤残管理工作；负责革命烈士审核报批工作；负责革命烈士、因公伤亡人员和病故军人的一次性抚恤工作；审核报批全市重点烈士纪念建筑物保护单位；负责革命烈士史料收集、整理、编纂；承担双拥工作领导小组的日常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（五）指导全市退伍义务兵、转业士官、复员退役伤病残士兵的接收安置工作；负责驻霸中省、市直单位城镇退役士兵、转业士官安置发配工作；指导军地两用人才培训和开发使用工作。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（六）负责廊坊军队离退休干部安置办公室移交本市管理的军队离、退休干部和军队无军籍退休退职职工接收安置、管理服务工作；指导全市军队离退休干部休养所的建设和服务管理工作。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（七）指导全市救灾工作和灾区生产自救、发放救灾款物工作；检查监督救灾款物使用权用情况；组织指导全市救灾捐赠工作，积极开展经常性社会捐助活动及救灾物资的仓储管理。</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八）负责全市城乡社会救济和农村五保供养政策的落实；组织、指导扶贫济困等社会互助活动；负责全市性社会福利募捐义演；全面实施城乡居民最低生活保障制度，按照“应保尽保”的原则，切实保障城乡居民的革本生活。</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lastRenderedPageBreak/>
        <w:t>（九）承担老年人、孤儿、五保户等特殊困难群众权益保护和行政管理工作，指导残疾人权益保障工作。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研究提出全市加强和改进基层政权、基层民主政治建设的意见和建议；指导全市村委全、居委会等自治组织建设及有关人员培训工作，推进村务、居务公开，指导社区建设并负责社区典型经验的总结和推广。</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（十一）负责全市婚姻登记及管理工作；拟定全市婚姻服务机构管理办法；倡导婚姻习俗改革；依法查年非法婚姻。</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（十二）拟定全市行政区划总体规划；居办村委会、城市街道办事处的设立、撤销、界线变更的调查、论证、审核工作；负责级、镇的设立、撤销、驻地迁移申报工作。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（十三）负责全市行政区划名称、重要自然地理实体命名、更名的申报或审批工作；依法规范全市城乡地名标志设置和管理，组织指导全市推行地名标准化、信息化建设和标准地名书图资料编辑及审定。</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（十四）负责全市边界勘定和边争议调处。</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lastRenderedPageBreak/>
        <w:t>（十五）研究制定并组织实施社会福利事业发展规划和各类福利设施管理服务标准及全市社会福利社会化工作；会同有关部门研究制定并监督实施全市残疾人就业和社会福利生产扶持保护政策；制定全市福利生产发展规划；对社会福利生产企业进行指导和宏观管理。</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（十六）负责全市收养登记工作；积极推行殡葬改革，加强全市殡葬事业单位的管理；负责流浪乞讨人员的收容遣送工作。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（十七）主管全市对内扶贫和对口帮扶工作。协调有关部门与贫困村、贫困户结对子，办实事。积极争取资金，采取有效措施，帮助贫困村、贫困户尽快脱贫。</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（十八）指导监督全市民政事业费的管理；负责管理和统计全市民政事业发展工作；负责审计专项款物的使用情况。</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（十九）指导各乡镇（区、办）基层民政组织建设工作。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（二十）负责全市社会福利有奖募捐工作。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（二十一）承办市政府交办的基它事项。</w:t>
      </w:r>
    </w:p>
    <w:p w:rsidR="00F12EC9" w:rsidRDefault="00F12EC9">
      <w:pPr>
        <w:autoSpaceDE w:val="0"/>
        <w:autoSpaceDN w:val="0"/>
        <w:adjustRightInd w:val="0"/>
        <w:ind w:firstLineChars="200" w:firstLine="643"/>
        <w:jc w:val="left"/>
        <w:rPr>
          <w:rFonts w:ascii="楷体" w:eastAsia="楷体" w:hAnsi="楷体"/>
          <w:b/>
          <w:sz w:val="32"/>
          <w:szCs w:val="32"/>
        </w:rPr>
      </w:pPr>
      <w:r>
        <w:rPr>
          <w:rFonts w:ascii="楷体" w:eastAsia="楷体" w:hAnsi="楷体" w:hint="eastAsia"/>
          <w:b/>
          <w:sz w:val="32"/>
          <w:szCs w:val="32"/>
        </w:rPr>
        <w:t>机构设置：</w:t>
      </w:r>
    </w:p>
    <w:tbl>
      <w:tblPr>
        <w:tblW w:w="10419" w:type="dxa"/>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93"/>
        <w:gridCol w:w="1658"/>
        <w:gridCol w:w="2027"/>
        <w:gridCol w:w="3541"/>
      </w:tblGrid>
      <w:tr w:rsidR="00F12EC9" w:rsidTr="0049223D">
        <w:trPr>
          <w:jc w:val="center"/>
        </w:trPr>
        <w:tc>
          <w:tcPr>
            <w:tcW w:w="3193" w:type="dxa"/>
            <w:vAlign w:val="center"/>
          </w:tcPr>
          <w:p w:rsidR="00F12EC9" w:rsidRDefault="00F12EC9" w:rsidP="0049223D">
            <w:pPr>
              <w:spacing w:line="300" w:lineRule="exact"/>
              <w:jc w:val="center"/>
              <w:rPr>
                <w:rFonts w:ascii="方正书宋_GBK" w:eastAsia="方正书宋_GBK"/>
                <w:b/>
              </w:rPr>
            </w:pPr>
            <w:r>
              <w:rPr>
                <w:rFonts w:ascii="方正书宋_GBK" w:eastAsia="方正书宋_GBK" w:hint="eastAsia"/>
                <w:b/>
              </w:rPr>
              <w:lastRenderedPageBreak/>
              <w:t>单位名称</w:t>
            </w:r>
          </w:p>
        </w:tc>
        <w:tc>
          <w:tcPr>
            <w:tcW w:w="1658" w:type="dxa"/>
            <w:vAlign w:val="center"/>
          </w:tcPr>
          <w:p w:rsidR="00F12EC9" w:rsidRDefault="00F12EC9" w:rsidP="0049223D">
            <w:pPr>
              <w:spacing w:line="300" w:lineRule="exact"/>
              <w:jc w:val="center"/>
              <w:rPr>
                <w:rFonts w:ascii="方正书宋_GBK" w:eastAsia="方正书宋_GBK"/>
                <w:b/>
              </w:rPr>
            </w:pPr>
            <w:r>
              <w:rPr>
                <w:rFonts w:ascii="方正书宋_GBK" w:eastAsia="方正书宋_GBK" w:hint="eastAsia"/>
                <w:b/>
              </w:rPr>
              <w:t>单位性质</w:t>
            </w:r>
          </w:p>
        </w:tc>
        <w:tc>
          <w:tcPr>
            <w:tcW w:w="2027" w:type="dxa"/>
            <w:vAlign w:val="center"/>
          </w:tcPr>
          <w:p w:rsidR="00F12EC9" w:rsidRDefault="00F12EC9" w:rsidP="0049223D">
            <w:pPr>
              <w:spacing w:line="300" w:lineRule="exact"/>
              <w:jc w:val="center"/>
              <w:rPr>
                <w:rFonts w:ascii="方正书宋_GBK" w:eastAsia="方正书宋_GBK"/>
                <w:b/>
              </w:rPr>
            </w:pPr>
            <w:r>
              <w:rPr>
                <w:rFonts w:ascii="方正书宋_GBK" w:eastAsia="方正书宋_GBK" w:hint="eastAsia"/>
                <w:b/>
              </w:rPr>
              <w:t>单位规格</w:t>
            </w:r>
          </w:p>
        </w:tc>
        <w:tc>
          <w:tcPr>
            <w:tcW w:w="3541" w:type="dxa"/>
            <w:vAlign w:val="center"/>
          </w:tcPr>
          <w:p w:rsidR="00F12EC9" w:rsidRDefault="00F12EC9" w:rsidP="0049223D">
            <w:pPr>
              <w:spacing w:line="300" w:lineRule="exact"/>
              <w:jc w:val="center"/>
              <w:rPr>
                <w:rFonts w:ascii="方正书宋_GBK" w:eastAsia="方正书宋_GBK"/>
                <w:b/>
              </w:rPr>
            </w:pPr>
            <w:r>
              <w:rPr>
                <w:rFonts w:ascii="方正书宋_GBK" w:eastAsia="方正书宋_GBK" w:hint="eastAsia"/>
                <w:b/>
              </w:rPr>
              <w:t>经费保障形式</w:t>
            </w:r>
          </w:p>
        </w:tc>
      </w:tr>
      <w:tr w:rsidR="00F12EC9" w:rsidTr="0049223D">
        <w:trPr>
          <w:jc w:val="center"/>
        </w:trPr>
        <w:tc>
          <w:tcPr>
            <w:tcW w:w="3193"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霸州市民政局</w:t>
            </w:r>
          </w:p>
        </w:tc>
        <w:tc>
          <w:tcPr>
            <w:tcW w:w="1658"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行政</w:t>
            </w:r>
          </w:p>
        </w:tc>
        <w:tc>
          <w:tcPr>
            <w:tcW w:w="2027"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正科级</w:t>
            </w:r>
          </w:p>
        </w:tc>
        <w:tc>
          <w:tcPr>
            <w:tcW w:w="3541"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财政拨款</w:t>
            </w:r>
          </w:p>
        </w:tc>
      </w:tr>
      <w:tr w:rsidR="00F12EC9" w:rsidTr="0049223D">
        <w:trPr>
          <w:trHeight w:val="357"/>
          <w:jc w:val="center"/>
        </w:trPr>
        <w:tc>
          <w:tcPr>
            <w:tcW w:w="3193"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霸州市光荣院</w:t>
            </w:r>
          </w:p>
        </w:tc>
        <w:tc>
          <w:tcPr>
            <w:tcW w:w="1658"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全额事业</w:t>
            </w:r>
          </w:p>
        </w:tc>
        <w:tc>
          <w:tcPr>
            <w:tcW w:w="2027"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其他</w:t>
            </w:r>
          </w:p>
        </w:tc>
        <w:tc>
          <w:tcPr>
            <w:tcW w:w="3541"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财政性资金基本保证</w:t>
            </w:r>
          </w:p>
        </w:tc>
      </w:tr>
      <w:tr w:rsidR="00F12EC9" w:rsidTr="0049223D">
        <w:trPr>
          <w:trHeight w:val="333"/>
          <w:jc w:val="center"/>
        </w:trPr>
        <w:tc>
          <w:tcPr>
            <w:tcW w:w="3193"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霸州市殡仪馆</w:t>
            </w:r>
          </w:p>
        </w:tc>
        <w:tc>
          <w:tcPr>
            <w:tcW w:w="1658"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差额事业</w:t>
            </w:r>
          </w:p>
        </w:tc>
        <w:tc>
          <w:tcPr>
            <w:tcW w:w="2027"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其他</w:t>
            </w:r>
          </w:p>
        </w:tc>
        <w:tc>
          <w:tcPr>
            <w:tcW w:w="3541"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财政性资金定额或定项补助</w:t>
            </w:r>
          </w:p>
        </w:tc>
      </w:tr>
      <w:tr w:rsidR="00F12EC9" w:rsidTr="0049223D">
        <w:trPr>
          <w:jc w:val="center"/>
        </w:trPr>
        <w:tc>
          <w:tcPr>
            <w:tcW w:w="3193"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霸州市中心敬老院</w:t>
            </w:r>
          </w:p>
        </w:tc>
        <w:tc>
          <w:tcPr>
            <w:tcW w:w="1658"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全额事业</w:t>
            </w:r>
          </w:p>
        </w:tc>
        <w:tc>
          <w:tcPr>
            <w:tcW w:w="2027"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其他</w:t>
            </w:r>
          </w:p>
        </w:tc>
        <w:tc>
          <w:tcPr>
            <w:tcW w:w="3541"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财政性资金基本保证</w:t>
            </w:r>
          </w:p>
        </w:tc>
      </w:tr>
      <w:tr w:rsidR="00F12EC9" w:rsidTr="0049223D">
        <w:trPr>
          <w:jc w:val="center"/>
        </w:trPr>
        <w:tc>
          <w:tcPr>
            <w:tcW w:w="3193"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霸州市胜芳镇中心敬老院</w:t>
            </w:r>
          </w:p>
        </w:tc>
        <w:tc>
          <w:tcPr>
            <w:tcW w:w="1658"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全额事业</w:t>
            </w:r>
          </w:p>
        </w:tc>
        <w:tc>
          <w:tcPr>
            <w:tcW w:w="2027"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其他</w:t>
            </w:r>
          </w:p>
        </w:tc>
        <w:tc>
          <w:tcPr>
            <w:tcW w:w="3541"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财政性资金基本保证</w:t>
            </w:r>
          </w:p>
        </w:tc>
      </w:tr>
      <w:tr w:rsidR="00F12EC9" w:rsidTr="0049223D">
        <w:trPr>
          <w:jc w:val="center"/>
        </w:trPr>
        <w:tc>
          <w:tcPr>
            <w:tcW w:w="3193" w:type="dxa"/>
            <w:vAlign w:val="center"/>
          </w:tcPr>
          <w:p w:rsidR="00F12EC9" w:rsidRDefault="00F12EC9" w:rsidP="008D0A00">
            <w:pPr>
              <w:spacing w:line="300" w:lineRule="exact"/>
              <w:jc w:val="center"/>
              <w:rPr>
                <w:rFonts w:ascii="方正书宋_GBK" w:eastAsia="方正书宋_GBK"/>
              </w:rPr>
            </w:pPr>
            <w:r>
              <w:rPr>
                <w:rFonts w:ascii="方正书宋_GBK" w:eastAsia="方正书宋_GBK" w:hint="eastAsia"/>
              </w:rPr>
              <w:t>霸州市</w:t>
            </w:r>
            <w:r w:rsidR="008D0A00">
              <w:rPr>
                <w:rFonts w:ascii="方正书宋_GBK" w:eastAsia="方正书宋_GBK" w:hint="eastAsia"/>
              </w:rPr>
              <w:t>儿童福利院</w:t>
            </w:r>
          </w:p>
        </w:tc>
        <w:tc>
          <w:tcPr>
            <w:tcW w:w="1658"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全额事业</w:t>
            </w:r>
          </w:p>
        </w:tc>
        <w:tc>
          <w:tcPr>
            <w:tcW w:w="2027"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其他</w:t>
            </w:r>
          </w:p>
        </w:tc>
        <w:tc>
          <w:tcPr>
            <w:tcW w:w="3541" w:type="dxa"/>
            <w:vAlign w:val="center"/>
          </w:tcPr>
          <w:p w:rsidR="00F12EC9" w:rsidRDefault="00F12EC9" w:rsidP="0049223D">
            <w:pPr>
              <w:spacing w:line="300" w:lineRule="exact"/>
              <w:jc w:val="center"/>
              <w:rPr>
                <w:rFonts w:ascii="方正书宋_GBK" w:eastAsia="方正书宋_GBK"/>
              </w:rPr>
            </w:pPr>
            <w:r>
              <w:rPr>
                <w:rFonts w:ascii="方正书宋_GBK" w:eastAsia="方正书宋_GBK" w:hint="eastAsia"/>
              </w:rPr>
              <w:t>财政性资金</w:t>
            </w:r>
            <w:r w:rsidR="008D0A00">
              <w:rPr>
                <w:rFonts w:ascii="方正书宋_GBK" w:eastAsia="方正书宋_GBK" w:hint="eastAsia"/>
              </w:rPr>
              <w:t>基本保证</w:t>
            </w:r>
          </w:p>
        </w:tc>
      </w:tr>
      <w:tr w:rsidR="002C0236" w:rsidTr="0049223D">
        <w:trPr>
          <w:jc w:val="center"/>
        </w:trPr>
        <w:tc>
          <w:tcPr>
            <w:tcW w:w="3193" w:type="dxa"/>
            <w:vAlign w:val="center"/>
          </w:tcPr>
          <w:p w:rsidR="002C0236" w:rsidRDefault="002C0236" w:rsidP="008D0A00">
            <w:pPr>
              <w:spacing w:line="300" w:lineRule="exact"/>
              <w:jc w:val="center"/>
              <w:rPr>
                <w:rFonts w:ascii="方正书宋_GBK" w:eastAsia="方正书宋_GBK" w:hint="eastAsia"/>
              </w:rPr>
            </w:pPr>
            <w:r>
              <w:rPr>
                <w:rFonts w:ascii="方正书宋_GBK" w:eastAsia="方正书宋_GBK" w:hint="eastAsia"/>
              </w:rPr>
              <w:t>霸州市福彩公益金</w:t>
            </w:r>
          </w:p>
        </w:tc>
        <w:tc>
          <w:tcPr>
            <w:tcW w:w="1658" w:type="dxa"/>
            <w:vAlign w:val="center"/>
          </w:tcPr>
          <w:p w:rsidR="002C0236" w:rsidRDefault="002C0236" w:rsidP="0049223D">
            <w:pPr>
              <w:spacing w:line="300" w:lineRule="exact"/>
              <w:jc w:val="center"/>
              <w:rPr>
                <w:rFonts w:ascii="方正书宋_GBK" w:eastAsia="方正书宋_GBK" w:hint="eastAsia"/>
              </w:rPr>
            </w:pPr>
            <w:r>
              <w:rPr>
                <w:rFonts w:ascii="方正书宋_GBK" w:eastAsia="方正书宋_GBK" w:hint="eastAsia"/>
              </w:rPr>
              <w:t>全额事业</w:t>
            </w:r>
          </w:p>
        </w:tc>
        <w:tc>
          <w:tcPr>
            <w:tcW w:w="2027" w:type="dxa"/>
            <w:vAlign w:val="center"/>
          </w:tcPr>
          <w:p w:rsidR="002C0236" w:rsidRDefault="002C0236" w:rsidP="0049223D">
            <w:pPr>
              <w:spacing w:line="300" w:lineRule="exact"/>
              <w:jc w:val="center"/>
              <w:rPr>
                <w:rFonts w:ascii="方正书宋_GBK" w:eastAsia="方正书宋_GBK" w:hint="eastAsia"/>
              </w:rPr>
            </w:pPr>
            <w:r>
              <w:rPr>
                <w:rFonts w:ascii="方正书宋_GBK" w:eastAsia="方正书宋_GBK" w:hint="eastAsia"/>
              </w:rPr>
              <w:t>其他</w:t>
            </w:r>
          </w:p>
        </w:tc>
        <w:tc>
          <w:tcPr>
            <w:tcW w:w="3541" w:type="dxa"/>
            <w:vAlign w:val="center"/>
          </w:tcPr>
          <w:p w:rsidR="002C0236" w:rsidRDefault="002C0236" w:rsidP="0049223D">
            <w:pPr>
              <w:spacing w:line="300" w:lineRule="exact"/>
              <w:jc w:val="center"/>
              <w:rPr>
                <w:rFonts w:ascii="方正书宋_GBK" w:eastAsia="方正书宋_GBK" w:hint="eastAsia"/>
              </w:rPr>
            </w:pPr>
            <w:r>
              <w:rPr>
                <w:rFonts w:ascii="方正书宋_GBK" w:eastAsia="方正书宋_GBK" w:hint="eastAsia"/>
              </w:rPr>
              <w:t>财政性资金基本保证</w:t>
            </w:r>
          </w:p>
        </w:tc>
      </w:tr>
    </w:tbl>
    <w:p w:rsidR="00F12EC9" w:rsidRDefault="00F12EC9">
      <w:pPr>
        <w:spacing w:line="580" w:lineRule="atLeast"/>
        <w:ind w:firstLineChars="200" w:firstLine="640"/>
        <w:rPr>
          <w:rFonts w:ascii="黑体" w:eastAsia="黑体" w:hAnsi="黑体"/>
          <w:sz w:val="32"/>
          <w:szCs w:val="32"/>
        </w:rPr>
      </w:pPr>
      <w:r>
        <w:rPr>
          <w:rFonts w:ascii="黑体" w:eastAsia="黑体" w:hAnsi="黑体" w:hint="eastAsia"/>
          <w:sz w:val="32"/>
          <w:szCs w:val="32"/>
        </w:rPr>
        <w:t>二、部门预算安排总体情况</w:t>
      </w:r>
    </w:p>
    <w:p w:rsidR="00F12EC9" w:rsidRDefault="00F12EC9">
      <w:pPr>
        <w:ind w:firstLineChars="200" w:firstLine="640"/>
        <w:rPr>
          <w:rFonts w:ascii="仿宋" w:eastAsia="仿宋" w:hAnsi="仿宋"/>
          <w:sz w:val="32"/>
          <w:szCs w:val="32"/>
        </w:rPr>
      </w:pPr>
      <w:r>
        <w:rPr>
          <w:rFonts w:ascii="仿宋" w:eastAsia="仿宋" w:hAnsi="仿宋" w:hint="eastAsia"/>
          <w:sz w:val="32"/>
          <w:szCs w:val="32"/>
        </w:rPr>
        <w:t>按照预算管理有关规定，目前我市部门预算的编制实行综合预算制度，即全部收入和支出都反映在预算中。</w:t>
      </w:r>
    </w:p>
    <w:p w:rsidR="00F12EC9" w:rsidRPr="002C0236" w:rsidRDefault="00F12EC9">
      <w:pPr>
        <w:ind w:firstLineChars="200" w:firstLine="643"/>
        <w:rPr>
          <w:rFonts w:ascii="楷体" w:eastAsia="楷体" w:hAnsi="楷体"/>
          <w:b/>
          <w:sz w:val="32"/>
          <w:szCs w:val="32"/>
        </w:rPr>
      </w:pPr>
      <w:r w:rsidRPr="002C0236">
        <w:rPr>
          <w:rFonts w:ascii="楷体" w:eastAsia="楷体" w:hAnsi="楷体"/>
          <w:b/>
          <w:sz w:val="32"/>
          <w:szCs w:val="32"/>
        </w:rPr>
        <w:t>1</w:t>
      </w:r>
      <w:r w:rsidRPr="002C0236">
        <w:rPr>
          <w:rFonts w:ascii="楷体" w:eastAsia="楷体" w:hAnsi="楷体" w:hint="eastAsia"/>
          <w:b/>
          <w:sz w:val="32"/>
          <w:szCs w:val="32"/>
        </w:rPr>
        <w:t>、收入说明</w:t>
      </w:r>
    </w:p>
    <w:p w:rsidR="00F12EC9" w:rsidRDefault="00F12EC9">
      <w:pPr>
        <w:ind w:firstLineChars="200" w:firstLine="640"/>
        <w:rPr>
          <w:rFonts w:ascii="仿宋" w:eastAsia="仿宋" w:hAnsi="仿宋"/>
          <w:sz w:val="32"/>
          <w:szCs w:val="32"/>
        </w:rPr>
      </w:pPr>
      <w:r w:rsidRPr="002C0236">
        <w:rPr>
          <w:rFonts w:ascii="仿宋" w:eastAsia="仿宋" w:hAnsi="仿宋" w:hint="eastAsia"/>
          <w:sz w:val="32"/>
          <w:szCs w:val="32"/>
        </w:rPr>
        <w:t>反映本部门当年全部收入。</w:t>
      </w:r>
      <w:r w:rsidR="008D0A00" w:rsidRPr="002C0236">
        <w:rPr>
          <w:rFonts w:ascii="仿宋" w:eastAsia="仿宋" w:hAnsi="仿宋"/>
          <w:sz w:val="32"/>
          <w:szCs w:val="32"/>
        </w:rPr>
        <w:t>2019年</w:t>
      </w:r>
      <w:r w:rsidRPr="002C0236">
        <w:rPr>
          <w:rFonts w:ascii="仿宋" w:eastAsia="仿宋" w:hAnsi="仿宋" w:hint="eastAsia"/>
          <w:sz w:val="32"/>
          <w:szCs w:val="32"/>
        </w:rPr>
        <w:t>预算收入</w:t>
      </w:r>
      <w:r w:rsidR="00852C92" w:rsidRPr="002C0236">
        <w:rPr>
          <w:rFonts w:ascii="仿宋" w:eastAsia="仿宋" w:hAnsi="仿宋" w:hint="eastAsia"/>
          <w:sz w:val="32"/>
          <w:szCs w:val="32"/>
        </w:rPr>
        <w:t>13771.88</w:t>
      </w:r>
      <w:r w:rsidRPr="002C0236">
        <w:rPr>
          <w:rFonts w:ascii="仿宋" w:eastAsia="仿宋" w:hAnsi="仿宋" w:hint="eastAsia"/>
          <w:sz w:val="32"/>
          <w:szCs w:val="32"/>
        </w:rPr>
        <w:t>万元，其中：一般公共预算收入</w:t>
      </w:r>
      <w:r w:rsidR="00852C92" w:rsidRPr="002C0236">
        <w:rPr>
          <w:rFonts w:ascii="仿宋" w:eastAsia="仿宋" w:hAnsi="仿宋" w:hint="eastAsia"/>
          <w:sz w:val="32"/>
          <w:szCs w:val="32"/>
        </w:rPr>
        <w:t>13095.88</w:t>
      </w:r>
      <w:r w:rsidRPr="002C0236">
        <w:rPr>
          <w:rFonts w:ascii="仿宋" w:eastAsia="仿宋" w:hAnsi="仿宋" w:hint="eastAsia"/>
          <w:sz w:val="32"/>
          <w:szCs w:val="32"/>
        </w:rPr>
        <w:t>万元，政府性基金预算收入</w:t>
      </w:r>
      <w:r w:rsidR="00852C92" w:rsidRPr="002C0236">
        <w:rPr>
          <w:rFonts w:ascii="仿宋" w:eastAsia="仿宋" w:hAnsi="仿宋" w:hint="eastAsia"/>
          <w:sz w:val="32"/>
          <w:szCs w:val="32"/>
        </w:rPr>
        <w:t>676</w:t>
      </w:r>
      <w:r w:rsidRPr="002C0236">
        <w:rPr>
          <w:rFonts w:ascii="仿宋" w:eastAsia="仿宋" w:hAnsi="仿宋" w:hint="eastAsia"/>
          <w:sz w:val="32"/>
          <w:szCs w:val="32"/>
        </w:rPr>
        <w:t>万元，</w:t>
      </w:r>
      <w:r w:rsidR="00B33883" w:rsidRPr="002C0236">
        <w:rPr>
          <w:rFonts w:ascii="仿宋" w:eastAsia="仿宋" w:hAnsi="仿宋" w:hint="eastAsia"/>
          <w:sz w:val="32"/>
          <w:szCs w:val="32"/>
        </w:rPr>
        <w:t>国有资本经营预算收入0万元，上级补助收入0万元，</w:t>
      </w:r>
      <w:r w:rsidRPr="002C0236">
        <w:rPr>
          <w:rFonts w:ascii="仿宋" w:eastAsia="仿宋" w:hAnsi="仿宋" w:hint="eastAsia"/>
          <w:sz w:val="32"/>
          <w:szCs w:val="32"/>
        </w:rPr>
        <w:t>事业收入</w:t>
      </w:r>
      <w:r w:rsidRPr="002C0236">
        <w:rPr>
          <w:rFonts w:ascii="仿宋" w:eastAsia="仿宋" w:hAnsi="仿宋"/>
          <w:sz w:val="32"/>
          <w:szCs w:val="32"/>
        </w:rPr>
        <w:t>0</w:t>
      </w:r>
      <w:r w:rsidRPr="002C0236">
        <w:rPr>
          <w:rFonts w:ascii="仿宋" w:eastAsia="仿宋" w:hAnsi="仿宋" w:hint="eastAsia"/>
          <w:sz w:val="32"/>
          <w:szCs w:val="32"/>
        </w:rPr>
        <w:t>万元，经营收入</w:t>
      </w:r>
      <w:r w:rsidRPr="002C0236">
        <w:rPr>
          <w:rFonts w:ascii="仿宋" w:eastAsia="仿宋" w:hAnsi="仿宋"/>
          <w:sz w:val="32"/>
          <w:szCs w:val="32"/>
        </w:rPr>
        <w:t>0</w:t>
      </w:r>
      <w:r w:rsidRPr="002C0236">
        <w:rPr>
          <w:rFonts w:ascii="仿宋" w:eastAsia="仿宋" w:hAnsi="仿宋" w:hint="eastAsia"/>
          <w:sz w:val="32"/>
          <w:szCs w:val="32"/>
        </w:rPr>
        <w:t>万元，</w:t>
      </w:r>
      <w:r w:rsidR="00B33883" w:rsidRPr="002C0236">
        <w:rPr>
          <w:rFonts w:ascii="仿宋" w:eastAsia="仿宋" w:hAnsi="仿宋" w:hint="eastAsia"/>
          <w:sz w:val="32"/>
          <w:szCs w:val="32"/>
        </w:rPr>
        <w:t>附属单位上缴收入0万元，</w:t>
      </w:r>
      <w:r w:rsidRPr="002C0236">
        <w:rPr>
          <w:rFonts w:ascii="仿宋" w:eastAsia="仿宋" w:hAnsi="仿宋" w:hint="eastAsia"/>
          <w:sz w:val="32"/>
          <w:szCs w:val="32"/>
        </w:rPr>
        <w:t>其他收入</w:t>
      </w:r>
      <w:r w:rsidRPr="002C0236">
        <w:rPr>
          <w:rFonts w:ascii="仿宋" w:eastAsia="仿宋" w:hAnsi="仿宋"/>
          <w:sz w:val="32"/>
          <w:szCs w:val="32"/>
        </w:rPr>
        <w:t>0</w:t>
      </w:r>
      <w:r w:rsidRPr="002C0236">
        <w:rPr>
          <w:rFonts w:ascii="仿宋" w:eastAsia="仿宋" w:hAnsi="仿宋" w:hint="eastAsia"/>
          <w:sz w:val="32"/>
          <w:szCs w:val="32"/>
        </w:rPr>
        <w:t>万元。</w:t>
      </w:r>
    </w:p>
    <w:p w:rsidR="00F12EC9" w:rsidRDefault="00F12EC9">
      <w:pPr>
        <w:ind w:firstLineChars="200" w:firstLine="643"/>
        <w:rPr>
          <w:rFonts w:ascii="楷体" w:eastAsia="楷体" w:hAnsi="楷体"/>
          <w:b/>
          <w:sz w:val="32"/>
          <w:szCs w:val="32"/>
        </w:rPr>
      </w:pPr>
      <w:r>
        <w:rPr>
          <w:rFonts w:ascii="楷体" w:eastAsia="楷体" w:hAnsi="楷体"/>
          <w:b/>
          <w:sz w:val="32"/>
          <w:szCs w:val="32"/>
        </w:rPr>
        <w:t>2</w:t>
      </w:r>
      <w:r>
        <w:rPr>
          <w:rFonts w:ascii="楷体" w:eastAsia="楷体" w:hAnsi="楷体" w:hint="eastAsia"/>
          <w:b/>
          <w:sz w:val="32"/>
          <w:szCs w:val="32"/>
        </w:rPr>
        <w:t>、支出说明</w:t>
      </w:r>
    </w:p>
    <w:p w:rsidR="00F12EC9" w:rsidRDefault="00F12EC9">
      <w:pPr>
        <w:ind w:firstLineChars="200" w:firstLine="640"/>
        <w:rPr>
          <w:rFonts w:ascii="仿宋" w:eastAsia="仿宋" w:hAnsi="仿宋"/>
          <w:sz w:val="32"/>
          <w:szCs w:val="32"/>
        </w:rPr>
      </w:pPr>
      <w:r>
        <w:rPr>
          <w:rFonts w:ascii="仿宋" w:eastAsia="仿宋" w:hAnsi="仿宋" w:hint="eastAsia"/>
          <w:sz w:val="32"/>
          <w:szCs w:val="32"/>
        </w:rPr>
        <w:t>收支预算总表支出栏、基本支出表、项目支出表按经济分类和支出功能分类科目编制，反映霸州</w:t>
      </w:r>
      <w:r>
        <w:rPr>
          <w:rFonts w:ascii="仿宋" w:eastAsia="仿宋" w:hAnsi="仿宋" w:hint="eastAsia"/>
          <w:sz w:val="32"/>
          <w:szCs w:val="32"/>
        </w:rPr>
        <w:lastRenderedPageBreak/>
        <w:t>市民政局</w:t>
      </w:r>
      <w:r w:rsidR="008D0A00">
        <w:rPr>
          <w:rFonts w:ascii="仿宋" w:eastAsia="仿宋" w:hAnsi="仿宋"/>
          <w:sz w:val="32"/>
          <w:szCs w:val="32"/>
        </w:rPr>
        <w:t>2019年</w:t>
      </w:r>
      <w:r>
        <w:rPr>
          <w:rFonts w:ascii="仿宋" w:eastAsia="仿宋" w:hAnsi="仿宋" w:hint="eastAsia"/>
          <w:sz w:val="32"/>
          <w:szCs w:val="32"/>
        </w:rPr>
        <w:t>度部门预算中支出预算的总体情况。</w:t>
      </w:r>
      <w:r w:rsidR="008D0A00">
        <w:rPr>
          <w:rFonts w:ascii="仿宋" w:eastAsia="仿宋" w:hAnsi="仿宋"/>
          <w:sz w:val="32"/>
          <w:szCs w:val="32"/>
        </w:rPr>
        <w:t>2019年</w:t>
      </w:r>
      <w:r w:rsidR="00B33883">
        <w:rPr>
          <w:rFonts w:ascii="仿宋" w:eastAsia="仿宋" w:hAnsi="仿宋" w:hint="eastAsia"/>
          <w:sz w:val="32"/>
          <w:szCs w:val="32"/>
        </w:rPr>
        <w:t>民政局</w:t>
      </w:r>
      <w:r>
        <w:rPr>
          <w:rFonts w:ascii="仿宋" w:eastAsia="仿宋" w:hAnsi="仿宋" w:hint="eastAsia"/>
          <w:sz w:val="32"/>
          <w:szCs w:val="32"/>
        </w:rPr>
        <w:t>支出预算</w:t>
      </w:r>
      <w:r w:rsidR="005F728D">
        <w:rPr>
          <w:rFonts w:ascii="仿宋" w:eastAsia="仿宋" w:hAnsi="仿宋" w:hint="eastAsia"/>
          <w:sz w:val="32"/>
          <w:szCs w:val="32"/>
        </w:rPr>
        <w:t>13771.88</w:t>
      </w:r>
      <w:r>
        <w:rPr>
          <w:rFonts w:ascii="仿宋" w:eastAsia="仿宋" w:hAnsi="仿宋" w:hint="eastAsia"/>
          <w:sz w:val="32"/>
          <w:szCs w:val="32"/>
        </w:rPr>
        <w:t>万元，其中基本支出</w:t>
      </w:r>
      <w:r w:rsidR="005F728D">
        <w:rPr>
          <w:rFonts w:ascii="仿宋" w:eastAsia="仿宋" w:hAnsi="仿宋" w:hint="eastAsia"/>
          <w:sz w:val="32"/>
          <w:szCs w:val="32"/>
        </w:rPr>
        <w:t>1538.75</w:t>
      </w:r>
      <w:r>
        <w:rPr>
          <w:rFonts w:ascii="仿宋" w:eastAsia="仿宋" w:hAnsi="仿宋" w:hint="eastAsia"/>
          <w:sz w:val="32"/>
          <w:szCs w:val="32"/>
        </w:rPr>
        <w:t>万元，包括人员经费</w:t>
      </w:r>
      <w:r w:rsidR="005F728D">
        <w:rPr>
          <w:rFonts w:ascii="仿宋" w:eastAsia="仿宋" w:hAnsi="仿宋" w:hint="eastAsia"/>
          <w:sz w:val="32"/>
          <w:szCs w:val="32"/>
        </w:rPr>
        <w:t>1372.11</w:t>
      </w:r>
      <w:r w:rsidR="00B33883">
        <w:rPr>
          <w:rFonts w:ascii="仿宋" w:eastAsia="仿宋" w:hAnsi="仿宋" w:hint="eastAsia"/>
          <w:sz w:val="32"/>
          <w:szCs w:val="32"/>
        </w:rPr>
        <w:t>万元</w:t>
      </w:r>
      <w:r>
        <w:rPr>
          <w:rFonts w:ascii="仿宋" w:eastAsia="仿宋" w:hAnsi="仿宋" w:hint="eastAsia"/>
          <w:sz w:val="32"/>
          <w:szCs w:val="32"/>
        </w:rPr>
        <w:t>和日常公用经费</w:t>
      </w:r>
      <w:r w:rsidR="005F728D">
        <w:rPr>
          <w:rFonts w:ascii="仿宋" w:eastAsia="仿宋" w:hAnsi="仿宋" w:hint="eastAsia"/>
          <w:sz w:val="32"/>
          <w:szCs w:val="32"/>
        </w:rPr>
        <w:t>166.64</w:t>
      </w:r>
      <w:r w:rsidR="00B33883">
        <w:rPr>
          <w:rFonts w:ascii="仿宋" w:eastAsia="仿宋" w:hAnsi="仿宋" w:hint="eastAsia"/>
          <w:sz w:val="32"/>
          <w:szCs w:val="32"/>
        </w:rPr>
        <w:t>万元</w:t>
      </w:r>
      <w:r>
        <w:rPr>
          <w:rFonts w:ascii="仿宋" w:eastAsia="仿宋" w:hAnsi="仿宋" w:hint="eastAsia"/>
          <w:sz w:val="32"/>
          <w:szCs w:val="32"/>
        </w:rPr>
        <w:t>；项目支出</w:t>
      </w:r>
      <w:r w:rsidR="005F728D">
        <w:rPr>
          <w:rFonts w:ascii="仿宋" w:eastAsia="仿宋" w:hAnsi="仿宋" w:hint="eastAsia"/>
          <w:sz w:val="32"/>
          <w:szCs w:val="32"/>
        </w:rPr>
        <w:t>12233.13</w:t>
      </w:r>
      <w:r>
        <w:rPr>
          <w:rFonts w:ascii="仿宋" w:eastAsia="仿宋" w:hAnsi="仿宋" w:hint="eastAsia"/>
          <w:sz w:val="32"/>
          <w:szCs w:val="32"/>
        </w:rPr>
        <w:t>万元，全部为本级支出，主要为困难群众基本生活保障、医疗救助、自然灾害救助、养老服务体系、福利和慈善事业、双拥优抚安置管理、</w:t>
      </w:r>
      <w:r w:rsidR="00B33883">
        <w:rPr>
          <w:rFonts w:ascii="仿宋" w:eastAsia="仿宋" w:hAnsi="仿宋" w:hint="eastAsia"/>
          <w:sz w:val="32"/>
          <w:szCs w:val="32"/>
        </w:rPr>
        <w:t>复员退伍军人及军休安置、优抚事业单位能力建设、社会管理与服务、民政政务管理、福彩发行费管理、综合业务管理、福彩公益金</w:t>
      </w:r>
      <w:r w:rsidR="009A4035">
        <w:rPr>
          <w:rFonts w:ascii="仿宋" w:eastAsia="仿宋" w:hAnsi="仿宋" w:hint="eastAsia"/>
          <w:sz w:val="32"/>
          <w:szCs w:val="32"/>
        </w:rPr>
        <w:t>等；上缴上级支出0万元，经营支出0万元，对附属单位补助支出0万元。</w:t>
      </w:r>
    </w:p>
    <w:p w:rsidR="00F12EC9" w:rsidRDefault="00F12EC9">
      <w:pPr>
        <w:ind w:firstLineChars="200" w:firstLine="643"/>
        <w:rPr>
          <w:rFonts w:ascii="楷体" w:eastAsia="楷体" w:hAnsi="楷体"/>
          <w:b/>
          <w:sz w:val="32"/>
          <w:szCs w:val="32"/>
        </w:rPr>
      </w:pPr>
      <w:r>
        <w:rPr>
          <w:rFonts w:ascii="楷体" w:eastAsia="楷体" w:hAnsi="楷体"/>
          <w:b/>
          <w:sz w:val="32"/>
          <w:szCs w:val="32"/>
        </w:rPr>
        <w:t>3</w:t>
      </w:r>
      <w:r>
        <w:rPr>
          <w:rFonts w:ascii="楷体" w:eastAsia="楷体" w:hAnsi="楷体" w:hint="eastAsia"/>
          <w:b/>
          <w:sz w:val="32"/>
          <w:szCs w:val="32"/>
        </w:rPr>
        <w:t>、比上年增减情况</w:t>
      </w:r>
    </w:p>
    <w:p w:rsidR="00F12EC9" w:rsidRDefault="008D0A00">
      <w:pPr>
        <w:ind w:firstLineChars="200" w:firstLine="640"/>
        <w:rPr>
          <w:rFonts w:ascii="仿宋" w:eastAsia="仿宋" w:hAnsi="仿宋"/>
          <w:sz w:val="32"/>
          <w:szCs w:val="32"/>
        </w:rPr>
      </w:pPr>
      <w:r>
        <w:rPr>
          <w:rFonts w:ascii="仿宋" w:eastAsia="仿宋" w:hAnsi="仿宋"/>
          <w:sz w:val="32"/>
          <w:szCs w:val="32"/>
        </w:rPr>
        <w:t>2019年</w:t>
      </w:r>
      <w:r w:rsidR="00F12EC9">
        <w:rPr>
          <w:rFonts w:ascii="仿宋" w:eastAsia="仿宋" w:hAnsi="仿宋" w:hint="eastAsia"/>
          <w:sz w:val="32"/>
          <w:szCs w:val="32"/>
        </w:rPr>
        <w:t>预算收支安排</w:t>
      </w:r>
      <w:r w:rsidR="000F187E">
        <w:rPr>
          <w:rFonts w:ascii="仿宋" w:eastAsia="仿宋" w:hAnsi="仿宋" w:hint="eastAsia"/>
          <w:sz w:val="32"/>
          <w:szCs w:val="32"/>
        </w:rPr>
        <w:t>13771.88</w:t>
      </w:r>
      <w:r w:rsidR="00F12EC9">
        <w:rPr>
          <w:rFonts w:ascii="仿宋" w:eastAsia="仿宋" w:hAnsi="仿宋" w:hint="eastAsia"/>
          <w:sz w:val="32"/>
          <w:szCs w:val="32"/>
        </w:rPr>
        <w:t>万元，较</w:t>
      </w:r>
      <w:r>
        <w:rPr>
          <w:rFonts w:ascii="仿宋" w:eastAsia="仿宋" w:hAnsi="仿宋"/>
          <w:sz w:val="32"/>
          <w:szCs w:val="32"/>
        </w:rPr>
        <w:t>2018年</w:t>
      </w:r>
      <w:r w:rsidR="00F12EC9">
        <w:rPr>
          <w:rFonts w:ascii="仿宋" w:eastAsia="仿宋" w:hAnsi="仿宋" w:hint="eastAsia"/>
          <w:sz w:val="32"/>
          <w:szCs w:val="32"/>
        </w:rPr>
        <w:t>预算增加</w:t>
      </w:r>
      <w:r w:rsidR="000F187E">
        <w:rPr>
          <w:rFonts w:ascii="仿宋" w:eastAsia="仿宋" w:hAnsi="仿宋" w:hint="eastAsia"/>
          <w:sz w:val="32"/>
          <w:szCs w:val="32"/>
        </w:rPr>
        <w:t>1387.77</w:t>
      </w:r>
      <w:r w:rsidR="00F12EC9">
        <w:rPr>
          <w:rFonts w:ascii="仿宋" w:eastAsia="仿宋" w:hAnsi="仿宋" w:hint="eastAsia"/>
          <w:sz w:val="32"/>
          <w:szCs w:val="32"/>
        </w:rPr>
        <w:t>万元，其中：基本支出</w:t>
      </w:r>
      <w:r w:rsidR="006A07EE">
        <w:rPr>
          <w:rFonts w:ascii="仿宋" w:eastAsia="仿宋" w:hAnsi="仿宋" w:hint="eastAsia"/>
          <w:sz w:val="32"/>
          <w:szCs w:val="32"/>
        </w:rPr>
        <w:t>增加</w:t>
      </w:r>
      <w:r w:rsidR="000F187E">
        <w:rPr>
          <w:rFonts w:ascii="仿宋" w:eastAsia="仿宋" w:hAnsi="仿宋" w:hint="eastAsia"/>
          <w:sz w:val="32"/>
          <w:szCs w:val="32"/>
        </w:rPr>
        <w:t>192.9</w:t>
      </w:r>
      <w:r w:rsidR="00F12EC9">
        <w:rPr>
          <w:rFonts w:ascii="仿宋" w:eastAsia="仿宋" w:hAnsi="仿宋" w:hint="eastAsia"/>
          <w:sz w:val="32"/>
          <w:szCs w:val="32"/>
        </w:rPr>
        <w:t>万元，主要为</w:t>
      </w:r>
      <w:r w:rsidR="006A07EE">
        <w:rPr>
          <w:rFonts w:ascii="仿宋" w:eastAsia="仿宋" w:hAnsi="仿宋" w:hint="eastAsia"/>
          <w:sz w:val="32"/>
          <w:szCs w:val="32"/>
        </w:rPr>
        <w:t>增加人员经费支出</w:t>
      </w:r>
      <w:r w:rsidR="00F12EC9">
        <w:rPr>
          <w:rFonts w:ascii="仿宋" w:eastAsia="仿宋" w:hAnsi="仿宋" w:hint="eastAsia"/>
          <w:sz w:val="32"/>
          <w:szCs w:val="32"/>
        </w:rPr>
        <w:t>；项目支出增加</w:t>
      </w:r>
      <w:r w:rsidR="000F187E">
        <w:rPr>
          <w:rFonts w:ascii="仿宋" w:eastAsia="仿宋" w:hAnsi="仿宋" w:hint="eastAsia"/>
          <w:sz w:val="32"/>
          <w:szCs w:val="32"/>
        </w:rPr>
        <w:t>1194.87</w:t>
      </w:r>
      <w:r w:rsidR="006A07EE">
        <w:rPr>
          <w:rFonts w:ascii="仿宋" w:eastAsia="仿宋" w:hAnsi="仿宋" w:hint="eastAsia"/>
          <w:sz w:val="32"/>
          <w:szCs w:val="32"/>
        </w:rPr>
        <w:t>万元，主要为增加救助资金</w:t>
      </w:r>
      <w:r w:rsidR="00F12EC9">
        <w:rPr>
          <w:rFonts w:ascii="仿宋" w:eastAsia="仿宋" w:hAnsi="仿宋" w:hint="eastAsia"/>
          <w:sz w:val="32"/>
          <w:szCs w:val="32"/>
        </w:rPr>
        <w:t>。</w:t>
      </w:r>
    </w:p>
    <w:p w:rsidR="00F12EC9" w:rsidRDefault="00F12EC9">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三、机关运行经费安排情况</w:t>
      </w:r>
    </w:p>
    <w:p w:rsidR="00F12EC9" w:rsidRDefault="00F12EC9">
      <w:pPr>
        <w:autoSpaceDE w:val="0"/>
        <w:autoSpaceDN w:val="0"/>
        <w:adjustRightInd w:val="0"/>
        <w:ind w:firstLineChars="200" w:firstLine="640"/>
        <w:jc w:val="left"/>
        <w:rPr>
          <w:rFonts w:ascii="仿宋" w:eastAsia="仿宋" w:hAnsi="仿宋"/>
          <w:sz w:val="32"/>
          <w:szCs w:val="32"/>
        </w:rPr>
      </w:pPr>
      <w:r>
        <w:rPr>
          <w:rFonts w:ascii="仿宋" w:eastAsia="仿宋" w:hAnsi="仿宋" w:hint="eastAsia"/>
          <w:sz w:val="32"/>
          <w:szCs w:val="32"/>
        </w:rPr>
        <w:t>机关运行经费共计安排</w:t>
      </w:r>
      <w:r w:rsidR="000F187E">
        <w:rPr>
          <w:rFonts w:ascii="仿宋" w:eastAsia="仿宋" w:hAnsi="仿宋" w:hint="eastAsia"/>
          <w:sz w:val="32"/>
          <w:szCs w:val="32"/>
        </w:rPr>
        <w:t>166.64</w:t>
      </w:r>
      <w:r>
        <w:rPr>
          <w:rFonts w:ascii="仿宋" w:eastAsia="仿宋" w:hAnsi="仿宋" w:hint="eastAsia"/>
          <w:sz w:val="32"/>
          <w:szCs w:val="32"/>
        </w:rPr>
        <w:t>万元，主要用于霸州市民政局办公区的日常维修、办公用房水电费、办公用房取暖费、</w:t>
      </w:r>
      <w:r w:rsidR="00765DB5">
        <w:rPr>
          <w:rFonts w:ascii="仿宋" w:eastAsia="仿宋" w:hAnsi="仿宋" w:hint="eastAsia"/>
          <w:sz w:val="32"/>
          <w:szCs w:val="32"/>
        </w:rPr>
        <w:t>办公及印</w:t>
      </w:r>
      <w:r w:rsidR="00DD504F">
        <w:rPr>
          <w:rFonts w:ascii="仿宋" w:eastAsia="仿宋" w:hAnsi="仿宋" w:hint="eastAsia"/>
          <w:sz w:val="32"/>
          <w:szCs w:val="32"/>
        </w:rPr>
        <w:t>刷费，邮电费、差旅费、会议费、福利费、专用材料及一般设备购置费</w:t>
      </w:r>
      <w:r w:rsidR="00765DB5">
        <w:rPr>
          <w:rFonts w:ascii="仿宋" w:eastAsia="仿宋" w:hAnsi="仿宋" w:hint="eastAsia"/>
          <w:sz w:val="32"/>
          <w:szCs w:val="32"/>
        </w:rPr>
        <w:t>、公务用车运行维护费</w:t>
      </w:r>
      <w:r w:rsidR="00DD504F">
        <w:rPr>
          <w:rFonts w:ascii="仿宋" w:eastAsia="仿宋" w:hAnsi="仿宋" w:hint="eastAsia"/>
          <w:sz w:val="32"/>
          <w:szCs w:val="32"/>
        </w:rPr>
        <w:t>、公务接待费、培训费</w:t>
      </w:r>
      <w:r>
        <w:rPr>
          <w:rFonts w:ascii="仿宋" w:eastAsia="仿宋" w:hAnsi="仿宋" w:hint="eastAsia"/>
          <w:sz w:val="32"/>
          <w:szCs w:val="32"/>
        </w:rPr>
        <w:t>等日常运行支出。</w:t>
      </w:r>
    </w:p>
    <w:p w:rsidR="00F12EC9" w:rsidRDefault="00F12EC9">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lastRenderedPageBreak/>
        <w:t>四、财政拨款“三公”经费预算情况及增减变化原因</w:t>
      </w:r>
    </w:p>
    <w:p w:rsidR="00F12EC9" w:rsidRDefault="008D0A00">
      <w:pPr>
        <w:spacing w:line="580" w:lineRule="atLeast"/>
        <w:ind w:firstLineChars="200" w:firstLine="640"/>
        <w:rPr>
          <w:rFonts w:ascii="仿宋" w:eastAsia="仿宋" w:hAnsi="仿宋"/>
          <w:sz w:val="32"/>
          <w:szCs w:val="32"/>
        </w:rPr>
      </w:pPr>
      <w:r>
        <w:rPr>
          <w:rFonts w:ascii="仿宋" w:eastAsia="仿宋" w:hAnsi="仿宋"/>
          <w:sz w:val="32"/>
          <w:szCs w:val="32"/>
        </w:rPr>
        <w:t>2019年</w:t>
      </w:r>
      <w:r w:rsidR="00F12EC9">
        <w:rPr>
          <w:rFonts w:ascii="仿宋" w:eastAsia="仿宋" w:hAnsi="仿宋" w:hint="eastAsia"/>
          <w:sz w:val="32"/>
          <w:szCs w:val="32"/>
        </w:rPr>
        <w:t>，我部门“三公”经费预算安排</w:t>
      </w:r>
      <w:r w:rsidR="00A63F42">
        <w:rPr>
          <w:rFonts w:ascii="仿宋" w:eastAsia="仿宋" w:hAnsi="仿宋" w:hint="eastAsia"/>
          <w:sz w:val="32"/>
          <w:szCs w:val="32"/>
        </w:rPr>
        <w:t>5.65</w:t>
      </w:r>
      <w:r w:rsidR="00F12EC9">
        <w:rPr>
          <w:rFonts w:ascii="仿宋" w:eastAsia="仿宋" w:hAnsi="仿宋" w:hint="eastAsia"/>
          <w:sz w:val="32"/>
          <w:szCs w:val="32"/>
        </w:rPr>
        <w:t>万元，其中</w:t>
      </w:r>
      <w:r w:rsidR="003772E7">
        <w:rPr>
          <w:rFonts w:ascii="仿宋" w:eastAsia="仿宋" w:hAnsi="仿宋" w:hint="eastAsia"/>
          <w:sz w:val="32"/>
          <w:szCs w:val="32"/>
        </w:rPr>
        <w:t>：</w:t>
      </w:r>
      <w:r w:rsidR="00F12EC9">
        <w:rPr>
          <w:rFonts w:ascii="仿宋" w:eastAsia="仿宋" w:hAnsi="仿宋" w:hint="eastAsia"/>
          <w:sz w:val="32"/>
          <w:szCs w:val="32"/>
        </w:rPr>
        <w:t>因公出国（境）费</w:t>
      </w:r>
      <w:r w:rsidR="00F12EC9">
        <w:rPr>
          <w:rFonts w:ascii="仿宋" w:eastAsia="仿宋" w:hAnsi="仿宋"/>
          <w:sz w:val="32"/>
          <w:szCs w:val="32"/>
        </w:rPr>
        <w:t>0</w:t>
      </w:r>
      <w:r w:rsidR="00F12EC9">
        <w:rPr>
          <w:rFonts w:ascii="仿宋" w:eastAsia="仿宋" w:hAnsi="仿宋" w:hint="eastAsia"/>
          <w:sz w:val="32"/>
          <w:szCs w:val="32"/>
        </w:rPr>
        <w:t>万元；公务用车购置及运维费</w:t>
      </w:r>
      <w:r w:rsidR="002E4253">
        <w:rPr>
          <w:rFonts w:ascii="仿宋" w:eastAsia="仿宋" w:hAnsi="仿宋" w:hint="eastAsia"/>
          <w:sz w:val="32"/>
          <w:szCs w:val="32"/>
        </w:rPr>
        <w:t>5</w:t>
      </w:r>
      <w:r w:rsidR="00F12EC9">
        <w:rPr>
          <w:rFonts w:ascii="仿宋" w:eastAsia="仿宋" w:hAnsi="仿宋" w:hint="eastAsia"/>
          <w:sz w:val="32"/>
          <w:szCs w:val="32"/>
        </w:rPr>
        <w:t>万元（其中：公务用车购置费为</w:t>
      </w:r>
      <w:r w:rsidR="00F12EC9">
        <w:rPr>
          <w:rFonts w:ascii="仿宋" w:eastAsia="仿宋" w:hAnsi="仿宋"/>
          <w:sz w:val="32"/>
          <w:szCs w:val="32"/>
        </w:rPr>
        <w:t>0</w:t>
      </w:r>
      <w:r w:rsidR="00F12EC9">
        <w:rPr>
          <w:rFonts w:ascii="仿宋" w:eastAsia="仿宋" w:hAnsi="仿宋" w:hint="eastAsia"/>
          <w:sz w:val="32"/>
          <w:szCs w:val="32"/>
        </w:rPr>
        <w:t>，公务用车运行</w:t>
      </w:r>
      <w:r w:rsidR="003772E7">
        <w:rPr>
          <w:rFonts w:ascii="仿宋" w:eastAsia="仿宋" w:hAnsi="仿宋" w:hint="eastAsia"/>
          <w:sz w:val="32"/>
          <w:szCs w:val="32"/>
        </w:rPr>
        <w:t>维护</w:t>
      </w:r>
      <w:r w:rsidR="00F12EC9">
        <w:rPr>
          <w:rFonts w:ascii="仿宋" w:eastAsia="仿宋" w:hAnsi="仿宋" w:hint="eastAsia"/>
          <w:sz w:val="32"/>
          <w:szCs w:val="32"/>
        </w:rPr>
        <w:t>费</w:t>
      </w:r>
      <w:r w:rsidR="002E4253">
        <w:rPr>
          <w:rFonts w:ascii="仿宋" w:eastAsia="仿宋" w:hAnsi="仿宋" w:hint="eastAsia"/>
          <w:sz w:val="32"/>
          <w:szCs w:val="32"/>
        </w:rPr>
        <w:t>5</w:t>
      </w:r>
      <w:r w:rsidR="00F12EC9">
        <w:rPr>
          <w:rFonts w:ascii="仿宋" w:eastAsia="仿宋" w:hAnsi="仿宋" w:hint="eastAsia"/>
          <w:sz w:val="32"/>
          <w:szCs w:val="32"/>
        </w:rPr>
        <w:t>万元</w:t>
      </w:r>
      <w:r w:rsidR="00F12EC9">
        <w:rPr>
          <w:rFonts w:ascii="仿宋" w:eastAsia="仿宋" w:hAnsi="仿宋"/>
          <w:sz w:val="32"/>
          <w:szCs w:val="32"/>
        </w:rPr>
        <w:t>)</w:t>
      </w:r>
      <w:r w:rsidR="00F12EC9">
        <w:rPr>
          <w:rFonts w:ascii="仿宋" w:eastAsia="仿宋" w:hAnsi="仿宋" w:hint="eastAsia"/>
          <w:sz w:val="32"/>
          <w:szCs w:val="32"/>
        </w:rPr>
        <w:t>；公务接待费</w:t>
      </w:r>
      <w:r w:rsidR="00F12EC9">
        <w:rPr>
          <w:rFonts w:ascii="仿宋" w:eastAsia="仿宋" w:hAnsi="仿宋"/>
          <w:sz w:val="32"/>
          <w:szCs w:val="32"/>
        </w:rPr>
        <w:t>0.</w:t>
      </w:r>
      <w:r w:rsidR="002E4253">
        <w:rPr>
          <w:rFonts w:ascii="仿宋" w:eastAsia="仿宋" w:hAnsi="仿宋" w:hint="eastAsia"/>
          <w:sz w:val="32"/>
          <w:szCs w:val="32"/>
        </w:rPr>
        <w:t>65</w:t>
      </w:r>
      <w:r w:rsidR="00F12EC9">
        <w:rPr>
          <w:rFonts w:ascii="仿宋" w:eastAsia="仿宋" w:hAnsi="仿宋" w:hint="eastAsia"/>
          <w:sz w:val="32"/>
          <w:szCs w:val="32"/>
        </w:rPr>
        <w:t>万元</w:t>
      </w:r>
      <w:r w:rsidR="003772E7">
        <w:rPr>
          <w:rFonts w:ascii="仿宋" w:eastAsia="仿宋" w:hAnsi="仿宋" w:hint="eastAsia"/>
          <w:sz w:val="32"/>
          <w:szCs w:val="32"/>
        </w:rPr>
        <w:t>，较</w:t>
      </w:r>
      <w:r>
        <w:rPr>
          <w:rFonts w:ascii="仿宋" w:eastAsia="仿宋" w:hAnsi="仿宋"/>
          <w:sz w:val="32"/>
          <w:szCs w:val="32"/>
        </w:rPr>
        <w:t>2018年</w:t>
      </w:r>
      <w:r w:rsidR="003772E7">
        <w:rPr>
          <w:rFonts w:ascii="仿宋" w:eastAsia="仿宋" w:hAnsi="仿宋" w:hint="eastAsia"/>
          <w:sz w:val="32"/>
          <w:szCs w:val="32"/>
        </w:rPr>
        <w:t>“三公”经费</w:t>
      </w:r>
      <w:r w:rsidR="00A63F42">
        <w:rPr>
          <w:rFonts w:ascii="仿宋" w:eastAsia="仿宋" w:hAnsi="仿宋" w:hint="eastAsia"/>
          <w:sz w:val="32"/>
          <w:szCs w:val="32"/>
        </w:rPr>
        <w:t>持平</w:t>
      </w:r>
      <w:r w:rsidR="003772E7">
        <w:rPr>
          <w:rFonts w:ascii="仿宋" w:eastAsia="仿宋" w:hAnsi="仿宋" w:hint="eastAsia"/>
          <w:sz w:val="32"/>
          <w:szCs w:val="32"/>
        </w:rPr>
        <w:t>，主要是因为因公出国（境）费与</w:t>
      </w:r>
      <w:r>
        <w:rPr>
          <w:rFonts w:ascii="仿宋" w:eastAsia="仿宋" w:hAnsi="仿宋" w:hint="eastAsia"/>
          <w:sz w:val="32"/>
          <w:szCs w:val="32"/>
        </w:rPr>
        <w:t>2018年</w:t>
      </w:r>
      <w:r w:rsidR="003772E7">
        <w:rPr>
          <w:rFonts w:ascii="仿宋" w:eastAsia="仿宋" w:hAnsi="仿宋" w:hint="eastAsia"/>
          <w:sz w:val="32"/>
          <w:szCs w:val="32"/>
        </w:rPr>
        <w:t>持平，无增减变化；</w:t>
      </w:r>
      <w:r w:rsidR="00F12EC9">
        <w:rPr>
          <w:rFonts w:ascii="仿宋" w:eastAsia="仿宋" w:hAnsi="仿宋" w:hint="eastAsia"/>
          <w:sz w:val="32"/>
          <w:szCs w:val="32"/>
        </w:rPr>
        <w:t>公务用车购置</w:t>
      </w:r>
      <w:r w:rsidR="003772E7">
        <w:rPr>
          <w:rFonts w:ascii="仿宋" w:eastAsia="仿宋" w:hAnsi="仿宋" w:hint="eastAsia"/>
          <w:sz w:val="32"/>
          <w:szCs w:val="32"/>
        </w:rPr>
        <w:t>费</w:t>
      </w:r>
      <w:r w:rsidR="00F12EC9">
        <w:rPr>
          <w:rFonts w:ascii="仿宋" w:eastAsia="仿宋" w:hAnsi="仿宋" w:hint="eastAsia"/>
          <w:sz w:val="32"/>
          <w:szCs w:val="32"/>
        </w:rPr>
        <w:t>与</w:t>
      </w:r>
      <w:r>
        <w:rPr>
          <w:rFonts w:ascii="仿宋" w:eastAsia="仿宋" w:hAnsi="仿宋" w:hint="eastAsia"/>
          <w:sz w:val="32"/>
          <w:szCs w:val="32"/>
        </w:rPr>
        <w:t>2018年</w:t>
      </w:r>
      <w:r w:rsidR="00F12EC9">
        <w:rPr>
          <w:rFonts w:ascii="仿宋" w:eastAsia="仿宋" w:hAnsi="仿宋" w:hint="eastAsia"/>
          <w:sz w:val="32"/>
          <w:szCs w:val="32"/>
        </w:rPr>
        <w:t>持平，无增减变化</w:t>
      </w:r>
      <w:r w:rsidR="003772E7">
        <w:rPr>
          <w:rFonts w:ascii="仿宋" w:eastAsia="仿宋" w:hAnsi="仿宋" w:hint="eastAsia"/>
          <w:sz w:val="32"/>
          <w:szCs w:val="32"/>
        </w:rPr>
        <w:t>；</w:t>
      </w:r>
      <w:r w:rsidR="00F12EC9">
        <w:rPr>
          <w:rFonts w:ascii="仿宋" w:eastAsia="仿宋" w:hAnsi="仿宋" w:hint="eastAsia"/>
          <w:sz w:val="32"/>
          <w:szCs w:val="32"/>
        </w:rPr>
        <w:t>公车</w:t>
      </w:r>
      <w:r w:rsidR="003772E7">
        <w:rPr>
          <w:rFonts w:ascii="仿宋" w:eastAsia="仿宋" w:hAnsi="仿宋" w:hint="eastAsia"/>
          <w:sz w:val="32"/>
          <w:szCs w:val="32"/>
        </w:rPr>
        <w:t>用车</w:t>
      </w:r>
      <w:r w:rsidR="00F12EC9">
        <w:rPr>
          <w:rFonts w:ascii="仿宋" w:eastAsia="仿宋" w:hAnsi="仿宋" w:hint="eastAsia"/>
          <w:sz w:val="32"/>
          <w:szCs w:val="32"/>
        </w:rPr>
        <w:t>运行维护费</w:t>
      </w:r>
      <w:r w:rsidR="00A63F42">
        <w:rPr>
          <w:rFonts w:ascii="仿宋" w:eastAsia="仿宋" w:hAnsi="仿宋" w:hint="eastAsia"/>
          <w:sz w:val="32"/>
          <w:szCs w:val="32"/>
        </w:rPr>
        <w:t>与2018年持平，无增减变化</w:t>
      </w:r>
      <w:r w:rsidR="003772E7">
        <w:rPr>
          <w:rFonts w:ascii="仿宋" w:eastAsia="仿宋" w:hAnsi="仿宋" w:hint="eastAsia"/>
          <w:sz w:val="32"/>
          <w:szCs w:val="32"/>
        </w:rPr>
        <w:t>；</w:t>
      </w:r>
      <w:r w:rsidR="00F12EC9">
        <w:rPr>
          <w:rFonts w:ascii="仿宋" w:eastAsia="仿宋" w:hAnsi="仿宋" w:hint="eastAsia"/>
          <w:sz w:val="32"/>
          <w:szCs w:val="32"/>
        </w:rPr>
        <w:t>公务接待费</w:t>
      </w:r>
      <w:r w:rsidR="00A63F42">
        <w:rPr>
          <w:rFonts w:ascii="仿宋" w:eastAsia="仿宋" w:hAnsi="仿宋" w:hint="eastAsia"/>
          <w:sz w:val="32"/>
          <w:szCs w:val="32"/>
        </w:rPr>
        <w:t>与2018年持平，无增减变化</w:t>
      </w:r>
      <w:r w:rsidR="00F12EC9">
        <w:rPr>
          <w:rFonts w:ascii="仿宋" w:eastAsia="仿宋" w:hAnsi="仿宋" w:hint="eastAsia"/>
          <w:sz w:val="32"/>
          <w:szCs w:val="32"/>
        </w:rPr>
        <w:t>。</w:t>
      </w:r>
    </w:p>
    <w:p w:rsidR="00F12EC9" w:rsidRDefault="00F12EC9">
      <w:pPr>
        <w:ind w:firstLineChars="200" w:firstLine="640"/>
        <w:rPr>
          <w:rFonts w:ascii="黑体" w:eastAsia="黑体" w:hAnsi="黑体"/>
          <w:sz w:val="32"/>
          <w:szCs w:val="32"/>
        </w:rPr>
      </w:pPr>
      <w:r>
        <w:rPr>
          <w:rFonts w:ascii="黑体" w:eastAsia="黑体" w:hAnsi="黑体" w:hint="eastAsia"/>
          <w:sz w:val="32"/>
          <w:szCs w:val="32"/>
        </w:rPr>
        <w:t>五、绩效预算信息</w:t>
      </w:r>
    </w:p>
    <w:p w:rsidR="00F12EC9" w:rsidRDefault="00F12EC9">
      <w:pPr>
        <w:ind w:firstLineChars="200" w:firstLine="643"/>
        <w:rPr>
          <w:rFonts w:ascii="楷体" w:eastAsia="楷体" w:hAnsi="楷体"/>
          <w:b/>
          <w:sz w:val="32"/>
          <w:szCs w:val="32"/>
        </w:rPr>
      </w:pPr>
      <w:r>
        <w:rPr>
          <w:rFonts w:ascii="楷体" w:eastAsia="楷体" w:hAnsi="楷体" w:hint="eastAsia"/>
          <w:b/>
          <w:sz w:val="32"/>
          <w:szCs w:val="32"/>
        </w:rPr>
        <w:t>总体绩效目标：</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一</w:t>
      </w:r>
      <w:r>
        <w:rPr>
          <w:rFonts w:ascii="仿宋" w:eastAsia="仿宋" w:hAnsi="仿宋"/>
          <w:sz w:val="32"/>
          <w:szCs w:val="32"/>
        </w:rPr>
        <w:t>)</w:t>
      </w:r>
      <w:r>
        <w:rPr>
          <w:rFonts w:ascii="仿宋" w:eastAsia="仿宋" w:hAnsi="仿宋" w:hint="eastAsia"/>
          <w:sz w:val="32"/>
          <w:szCs w:val="32"/>
        </w:rPr>
        <w:t>、规范申报程序，加大核查力度，进一步巩固低保工作成果</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hint="eastAsia"/>
          <w:sz w:val="32"/>
          <w:szCs w:val="32"/>
        </w:rPr>
        <w:t>从健全机制和规范管理等方面入手，将本着“应保尽保、分类施保、动态管理”的原则，将城乡低保清理核查、规范化建设工作作为重点工作来抓，进一步巩固“阳光低保”工作成果，提高城乡低保对象的保障水平。一是严格落实三级公示，让城乡低保工作更加透明。建立在政府信息公开平台长久公示制度，随时接受广大人民群众的监督和举报，坚决杜绝骗保、人情保、关系保等问题的发生。</w:t>
      </w:r>
      <w:r>
        <w:rPr>
          <w:rFonts w:ascii="仿宋" w:eastAsia="仿宋" w:hAnsi="仿宋" w:hint="eastAsia"/>
          <w:sz w:val="32"/>
          <w:szCs w:val="32"/>
        </w:rPr>
        <w:lastRenderedPageBreak/>
        <w:t>通过抓好公开公示，增加低保工作透明度，接受群众和社会各界的监督，达到公开、公平、公正的目的。二是全面推行阳光听证，让城乡低保工作更加完善。指导乡镇村街成立城乡低保清理核查民主评议小组，由村干部、党员代表、群众代表组成，在确定低保对象时，通过采取公开听证的方式，让群众代表、党员代表对申请对象的自述家庭收入情况与村干部调查核定的家庭收入情况进行评议，从而为低保对象的准确认定提供更加可靠的家庭收入依据。三是加大核查力度，让城乡低保工作达到应保尽保、应退尽退。全面开展城乡低保的核查清理工作，对已享受低保人员的户籍、车辆、房屋、退休、工商登记等信息逐一进行比对，对不符合条件的低保对象及时注销；对符合条件的困难户及时纳入保障范围，做到“应保尽保”、“应退尽退”。</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二</w:t>
      </w:r>
      <w:r>
        <w:rPr>
          <w:rFonts w:ascii="仿宋" w:eastAsia="仿宋" w:hAnsi="仿宋"/>
          <w:sz w:val="32"/>
          <w:szCs w:val="32"/>
        </w:rPr>
        <w:t>)</w:t>
      </w:r>
      <w:r>
        <w:rPr>
          <w:rFonts w:ascii="仿宋" w:eastAsia="仿宋" w:hAnsi="仿宋" w:hint="eastAsia"/>
          <w:sz w:val="32"/>
          <w:szCs w:val="32"/>
        </w:rPr>
        <w:t>、加大医疗救助工作力度，规范程序，简化手续，全面推开一站式服务工作</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hint="eastAsia"/>
          <w:sz w:val="32"/>
          <w:szCs w:val="32"/>
        </w:rPr>
        <w:t>本着“救急、救难、公平、简便”的原则，逐步建立与完善面向不同层次困难群众、各种制度相互衔接配套的城乡医疗救助体系，进一步提高城乡困难群众的医疗救助水平。一是继续巩固“一站式”服务成果，全面推行“一站式”服务。在试点医院的基础上，今年要在具备条件的市、乡医院全面推开“一站式”服务。充分发挥好“一站式”结算软件的作用，实现医疗救助与医疗保险制度的人员信</w:t>
      </w:r>
      <w:r>
        <w:rPr>
          <w:rFonts w:ascii="仿宋" w:eastAsia="仿宋" w:hAnsi="仿宋" w:hint="eastAsia"/>
          <w:sz w:val="32"/>
          <w:szCs w:val="32"/>
        </w:rPr>
        <w:lastRenderedPageBreak/>
        <w:t>息、就医信息和医疗费用信息的无缝衔接，达到医疗救助与医疗保险“一站式”同步结算，有效解决困难群众“看病难、报销难”等突出问题。二是以“医前救助”为重点，积极探索推行医前救助和医中大病救助的新模式，对患有重大疾病，无力支付医疗费用的困难家庭，实施医前、医中救助，解决他们的实际困难。建立医疗救助、临时救助、定向救助多渠道立体救助机制，进一步提升城乡医疗救助水平。三是推行“域外医疗救助资金直补”制度。对域外就医的低保户，通过核实入院治疗信息，对他们进行直接救助，资金实行银行发放，从而弥补“一站式”服务救助范围的缺陷，对困难群众住院救助实行了全覆盖，使救助手续更加简单、便捷，解决救助对象的燃眉之急。</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、全力抓好五保供养工作，积极探索政府购买服务新模式</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hint="eastAsia"/>
          <w:sz w:val="32"/>
          <w:szCs w:val="32"/>
        </w:rPr>
        <w:t>贯彻落实《农村五保供养工作条例》，采取多种措施，提高五保供养水平。一是按照“人性化、精细化、全位化”的管理模式，指导各敬老院从加强管理服务入手，通过健全规章制度，加强思想教育，开展专业培训，逐步推进敬老院规范化建设。市属两所敬老院要以文化入院为抓手，全面推进和谐敬老院建设。要因地制宜，在抓特色上做文章，采取多种形式积极开展饮食、娱乐、健康等文化建设活动，进一步丰富服务内容，提升生活品位，真正把敬老院办成五保老人的生活乐园、幸福家园。</w:t>
      </w:r>
      <w:r>
        <w:rPr>
          <w:rFonts w:ascii="仿宋" w:eastAsia="仿宋" w:hAnsi="仿宋" w:hint="eastAsia"/>
          <w:sz w:val="32"/>
          <w:szCs w:val="32"/>
        </w:rPr>
        <w:lastRenderedPageBreak/>
        <w:t>二是积极探索面向具有专业资质的社会组织和企业、机构等社会力量购买公共服务的养老新模式，在条件成熟的敬老院先行推广政府购买服务新形式。</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、规范审批，加强监管，进一步提升社会组织管理服务水平</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hint="eastAsia"/>
          <w:sz w:val="32"/>
          <w:szCs w:val="32"/>
        </w:rPr>
        <w:t>在社会组织管理中，不断深化行政审批制度改革，逐步规范服务内容，创新服务方式和工作机制，切实转变“重审批”、“轻管理”的现象。提高行政服务水平和效能。一是抓机制创新，推动社会组织登记管理体制改革。对行业协会商会类、科技类、公益慈善类、城乡社区服务类四类社会组织实行直接登记制度。二是抓日常监管，进一步规范社会组织登记管理工作。按照《社会团体登记管理条例》、《民办非企业单位登记管理暂行条例》相关规定，对社会组织开展经营活动情况、财务管理情况、收费情况、规章制度建立落实情况、党组织建设情况等几个方面加强管理，定期组织人员深入社会团体和民办非企业进行检查和抽查，及时发现问题，规范其行为，提高社会组织的影响力和公信度，促进其依法规范健康发展。</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五</w:t>
      </w:r>
      <w:r>
        <w:rPr>
          <w:rFonts w:ascii="仿宋" w:eastAsia="仿宋" w:hAnsi="仿宋"/>
          <w:sz w:val="32"/>
          <w:szCs w:val="32"/>
        </w:rPr>
        <w:t>)</w:t>
      </w:r>
      <w:r>
        <w:rPr>
          <w:rFonts w:ascii="仿宋" w:eastAsia="仿宋" w:hAnsi="仿宋" w:hint="eastAsia"/>
          <w:sz w:val="32"/>
          <w:szCs w:val="32"/>
        </w:rPr>
        <w:t>、以抓政策落实为重点，全面提升优抚安置工作水平</w:t>
      </w:r>
      <w:r>
        <w:rPr>
          <w:rFonts w:ascii="仿宋" w:eastAsia="仿宋" w:hAnsi="仿宋"/>
          <w:sz w:val="32"/>
          <w:szCs w:val="32"/>
        </w:rPr>
        <w:t xml:space="preserve">   </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hint="eastAsia"/>
          <w:sz w:val="32"/>
          <w:szCs w:val="32"/>
        </w:rPr>
        <w:t>一是积极开展为优抚对象办实事活动，落实走访制度，对重点优抚对象逐一进行走访，详细了解</w:t>
      </w:r>
      <w:r>
        <w:rPr>
          <w:rFonts w:ascii="仿宋" w:eastAsia="仿宋" w:hAnsi="仿宋" w:hint="eastAsia"/>
          <w:sz w:val="32"/>
          <w:szCs w:val="32"/>
        </w:rPr>
        <w:lastRenderedPageBreak/>
        <w:t>他们在生活中的所想、所需、所盼，从而提高为优抚对象办实事的针对性；巩固和完善优抚对象抚恤优待标准自然增长机制。二是全面推广优抚对象“一站式”即时结算服务医疗保障工作，切实提高优抚对象医疗保障水平；三是认真做好退役士兵的培训和安置工作。积极开展“订单式”培训，努力提高退役士兵的就业率。</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六</w:t>
      </w:r>
      <w:r>
        <w:rPr>
          <w:rFonts w:ascii="仿宋" w:eastAsia="仿宋" w:hAnsi="仿宋"/>
          <w:sz w:val="32"/>
          <w:szCs w:val="32"/>
        </w:rPr>
        <w:t>)</w:t>
      </w:r>
      <w:r>
        <w:rPr>
          <w:rFonts w:ascii="仿宋" w:eastAsia="仿宋" w:hAnsi="仿宋" w:hint="eastAsia"/>
          <w:sz w:val="32"/>
          <w:szCs w:val="32"/>
        </w:rPr>
        <w:t>、以养老服务站建设为抓手，全面加强社区服务站建设</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hint="eastAsia"/>
          <w:sz w:val="32"/>
          <w:szCs w:val="32"/>
        </w:rPr>
        <w:t>一是加强社区居家养老服务站建设。重点是抓好社区养老服务中心和日间照料中心建设，为老年人提供生活照料、医疗康复、文体健身、紧急救助等各项服务，增强社区吸附力。着力打造集休息、娱乐、理疗、餐饮为一体，设施齐全、和谐温馨的示范性日间照料中心。在全力抓好北燕家务养老服务站的同时，选择</w:t>
      </w:r>
      <w:r>
        <w:rPr>
          <w:rFonts w:ascii="仿宋" w:eastAsia="仿宋" w:hAnsi="仿宋"/>
          <w:sz w:val="32"/>
          <w:szCs w:val="32"/>
        </w:rPr>
        <w:t>1—2</w:t>
      </w:r>
      <w:r>
        <w:rPr>
          <w:rFonts w:ascii="仿宋" w:eastAsia="仿宋" w:hAnsi="仿宋" w:hint="eastAsia"/>
          <w:sz w:val="32"/>
          <w:szCs w:val="32"/>
        </w:rPr>
        <w:t>处具备条件的社区集中打造高标准的社区养老服务站。二是拓宽服务内容，为社区老人提供更优质、便捷的服务。三是以社区老年人日间照料服务中心为依托，推进社区养老与社区卫生服务资源的整合，规划建设</w:t>
      </w:r>
      <w:r>
        <w:rPr>
          <w:rFonts w:ascii="仿宋" w:eastAsia="仿宋" w:hAnsi="仿宋"/>
          <w:sz w:val="32"/>
          <w:szCs w:val="32"/>
        </w:rPr>
        <w:t>1</w:t>
      </w:r>
      <w:r>
        <w:rPr>
          <w:rFonts w:ascii="仿宋" w:eastAsia="仿宋" w:hAnsi="仿宋" w:hint="eastAsia"/>
          <w:sz w:val="32"/>
          <w:szCs w:val="32"/>
        </w:rPr>
        <w:t>个社区医养结合型日间照料服务中心。</w:t>
      </w:r>
    </w:p>
    <w:p w:rsidR="00F12EC9" w:rsidRDefault="00F12EC9">
      <w:pPr>
        <w:ind w:firstLineChars="200" w:firstLine="640"/>
        <w:rPr>
          <w:rFonts w:ascii="仿宋" w:eastAsia="仿宋" w:hAnsi="仿宋"/>
          <w:sz w:val="32"/>
          <w:szCs w:val="32"/>
        </w:rPr>
      </w:pPr>
      <w:r>
        <w:rPr>
          <w:rFonts w:ascii="仿宋" w:eastAsia="仿宋" w:hAnsi="仿宋" w:hint="eastAsia"/>
          <w:sz w:val="32"/>
          <w:szCs w:val="32"/>
        </w:rPr>
        <w:t>为全面完成各项民政重点工作，我们将从强化保障措施入手，全力推动重点民政工作实现创新和突破，提升民政服务水平。</w:t>
      </w:r>
    </w:p>
    <w:p w:rsidR="00F12EC9" w:rsidRDefault="00F12EC9">
      <w:pPr>
        <w:ind w:firstLineChars="200" w:firstLine="643"/>
        <w:jc w:val="left"/>
        <w:rPr>
          <w:rFonts w:ascii="仿宋" w:eastAsia="仿宋" w:hAnsi="仿宋"/>
          <w:b/>
          <w:sz w:val="32"/>
          <w:szCs w:val="32"/>
        </w:rPr>
      </w:pPr>
      <w:bookmarkStart w:id="0" w:name="_Toc471398463"/>
    </w:p>
    <w:p w:rsidR="00F12EC9" w:rsidRDefault="00F12EC9">
      <w:pPr>
        <w:ind w:firstLineChars="200" w:firstLine="643"/>
        <w:jc w:val="left"/>
        <w:rPr>
          <w:rFonts w:ascii="楷体" w:eastAsia="楷体" w:hAnsi="楷体"/>
          <w:b/>
          <w:sz w:val="32"/>
          <w:szCs w:val="32"/>
        </w:rPr>
      </w:pPr>
      <w:r>
        <w:rPr>
          <w:rFonts w:ascii="楷体" w:eastAsia="楷体" w:hAnsi="楷体" w:hint="eastAsia"/>
          <w:b/>
          <w:sz w:val="32"/>
          <w:szCs w:val="32"/>
        </w:rPr>
        <w:t>部门职责及工作活动绩效目标指标：</w:t>
      </w:r>
    </w:p>
    <w:p w:rsidR="00E337B8" w:rsidRDefault="00E337B8" w:rsidP="00E337B8">
      <w:pPr>
        <w:jc w:val="center"/>
        <w:outlineLvl w:val="0"/>
        <w:rPr>
          <w:rFonts w:ascii="方正小标宋_GBK" w:eastAsia="方正小标宋_GBK"/>
          <w:color w:val="FFFFFF"/>
          <w:sz w:val="32"/>
        </w:rPr>
      </w:pPr>
      <w:bookmarkStart w:id="1" w:name="_Toc1143170"/>
      <w:bookmarkEnd w:id="0"/>
      <w:r w:rsidRPr="006C5F60">
        <w:rPr>
          <w:rFonts w:ascii="方正小标宋_GBK" w:eastAsia="方正小标宋_GBK" w:hint="eastAsia"/>
          <w:sz w:val="32"/>
        </w:rPr>
        <w:t>部门职责-工作活动绩效目标</w:t>
      </w:r>
      <w:r w:rsidRPr="006C5F60">
        <w:rPr>
          <w:rStyle w:val="a5"/>
          <w:rFonts w:ascii="方正小标宋_GBK" w:eastAsia="方正小标宋_GBK"/>
          <w:color w:val="FFFFFF"/>
          <w:sz w:val="32"/>
        </w:rPr>
        <w:footnoteReference w:customMarkFollows="1" w:id="2"/>
        <w:sym w:font="Symbol" w:char="F020"/>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E337B8" w:rsidTr="00FC3462">
        <w:tblPrEx>
          <w:tblCellMar>
            <w:top w:w="0" w:type="dxa"/>
            <w:bottom w:w="0" w:type="dxa"/>
          </w:tblCellMar>
        </w:tblPrEx>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E337B8" w:rsidRPr="006C5F60" w:rsidRDefault="00E337B8" w:rsidP="00FC3462">
            <w:pPr>
              <w:spacing w:line="300" w:lineRule="exact"/>
              <w:jc w:val="left"/>
              <w:rPr>
                <w:rFonts w:ascii="方正小标宋_GBK" w:eastAsia="方正小标宋_GBK"/>
                <w:sz w:val="24"/>
              </w:rPr>
            </w:pPr>
            <w:r>
              <w:rPr>
                <w:rFonts w:ascii="方正小标宋_GBK" w:eastAsia="方正小标宋_GBK" w:hint="eastAsia"/>
                <w:sz w:val="24"/>
              </w:rPr>
              <w:t>802霸州市民政局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E337B8" w:rsidRPr="006C5F60" w:rsidRDefault="00E337B8" w:rsidP="00FC3462">
            <w:pPr>
              <w:spacing w:line="300" w:lineRule="exact"/>
              <w:jc w:val="right"/>
              <w:rPr>
                <w:rFonts w:ascii="方正书宋_GBK" w:eastAsia="方正书宋_GBK"/>
                <w:sz w:val="24"/>
              </w:rPr>
            </w:pPr>
            <w:r>
              <w:rPr>
                <w:rFonts w:ascii="方正书宋_GBK" w:eastAsia="方正书宋_GBK" w:hint="eastAsia"/>
                <w:sz w:val="24"/>
              </w:rPr>
              <w:t>单位：万元</w:t>
            </w:r>
          </w:p>
        </w:tc>
      </w:tr>
      <w:tr w:rsidR="00E337B8" w:rsidTr="00FC3462">
        <w:tblPrEx>
          <w:tblCellMar>
            <w:top w:w="0" w:type="dxa"/>
            <w:bottom w:w="0" w:type="dxa"/>
          </w:tblCellMar>
        </w:tblPrEx>
        <w:trPr>
          <w:trHeight w:val="227"/>
          <w:tblHeader/>
          <w:jc w:val="center"/>
        </w:trPr>
        <w:tc>
          <w:tcPr>
            <w:tcW w:w="2341" w:type="dxa"/>
            <w:vMerge w:val="restart"/>
            <w:shd w:val="clear" w:color="auto" w:fill="auto"/>
            <w:vAlign w:val="center"/>
          </w:tcPr>
          <w:p w:rsidR="00E337B8" w:rsidRPr="006C5F60" w:rsidRDefault="00E337B8" w:rsidP="00FC3462">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E337B8" w:rsidRPr="006C5F60" w:rsidRDefault="00E337B8" w:rsidP="00FC3462">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E337B8" w:rsidRPr="006C5F60" w:rsidRDefault="00E337B8" w:rsidP="00FC3462">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E337B8" w:rsidRPr="006C5F60" w:rsidRDefault="00E337B8" w:rsidP="00FC3462">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E337B8" w:rsidRPr="006C5F60" w:rsidRDefault="00E337B8" w:rsidP="00FC3462">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E337B8" w:rsidRPr="006C5F60" w:rsidRDefault="00E337B8" w:rsidP="00FC3462">
            <w:pPr>
              <w:spacing w:line="300" w:lineRule="exact"/>
              <w:jc w:val="center"/>
              <w:rPr>
                <w:rFonts w:ascii="方正书宋_GBK" w:eastAsia="方正书宋_GBK"/>
                <w:b/>
              </w:rPr>
            </w:pPr>
            <w:r>
              <w:rPr>
                <w:rFonts w:ascii="方正书宋_GBK" w:eastAsia="方正书宋_GBK" w:hint="eastAsia"/>
                <w:b/>
              </w:rPr>
              <w:t>评价标准</w:t>
            </w:r>
          </w:p>
        </w:tc>
      </w:tr>
      <w:tr w:rsidR="00E337B8" w:rsidTr="00FC3462">
        <w:tblPrEx>
          <w:tblCellMar>
            <w:top w:w="0" w:type="dxa"/>
            <w:bottom w:w="0" w:type="dxa"/>
          </w:tblCellMar>
        </w:tblPrEx>
        <w:trPr>
          <w:trHeight w:val="227"/>
          <w:tblHeader/>
          <w:jc w:val="center"/>
        </w:trPr>
        <w:tc>
          <w:tcPr>
            <w:tcW w:w="2341" w:type="dxa"/>
            <w:vMerge/>
            <w:shd w:val="clear" w:color="auto" w:fill="auto"/>
            <w:vAlign w:val="center"/>
          </w:tcPr>
          <w:p w:rsidR="00E337B8" w:rsidRDefault="00E337B8" w:rsidP="00FC3462">
            <w:pPr>
              <w:spacing w:line="300" w:lineRule="exact"/>
              <w:jc w:val="left"/>
              <w:outlineLvl w:val="0"/>
            </w:pPr>
          </w:p>
        </w:tc>
        <w:tc>
          <w:tcPr>
            <w:tcW w:w="1276" w:type="dxa"/>
            <w:vMerge/>
            <w:shd w:val="clear" w:color="auto" w:fill="auto"/>
            <w:vAlign w:val="center"/>
          </w:tcPr>
          <w:p w:rsidR="00E337B8" w:rsidRDefault="00E337B8" w:rsidP="00FC3462">
            <w:pPr>
              <w:spacing w:line="300" w:lineRule="exact"/>
              <w:jc w:val="left"/>
              <w:outlineLvl w:val="0"/>
            </w:pPr>
          </w:p>
        </w:tc>
        <w:tc>
          <w:tcPr>
            <w:tcW w:w="2976" w:type="dxa"/>
            <w:vMerge/>
            <w:shd w:val="clear" w:color="auto" w:fill="auto"/>
            <w:vAlign w:val="center"/>
          </w:tcPr>
          <w:p w:rsidR="00E337B8" w:rsidRDefault="00E337B8" w:rsidP="00FC3462">
            <w:pPr>
              <w:spacing w:line="300" w:lineRule="exact"/>
              <w:jc w:val="left"/>
              <w:outlineLvl w:val="0"/>
            </w:pPr>
          </w:p>
        </w:tc>
        <w:tc>
          <w:tcPr>
            <w:tcW w:w="2976" w:type="dxa"/>
            <w:vMerge/>
            <w:shd w:val="clear" w:color="auto" w:fill="auto"/>
            <w:vAlign w:val="center"/>
          </w:tcPr>
          <w:p w:rsidR="00E337B8" w:rsidRDefault="00E337B8" w:rsidP="00FC3462">
            <w:pPr>
              <w:spacing w:line="300" w:lineRule="exact"/>
              <w:jc w:val="left"/>
              <w:outlineLvl w:val="0"/>
            </w:pPr>
          </w:p>
        </w:tc>
        <w:tc>
          <w:tcPr>
            <w:tcW w:w="1417" w:type="dxa"/>
            <w:vMerge/>
            <w:shd w:val="clear" w:color="auto" w:fill="auto"/>
            <w:vAlign w:val="center"/>
          </w:tcPr>
          <w:p w:rsidR="00E337B8" w:rsidRDefault="00E337B8" w:rsidP="00FC3462">
            <w:pPr>
              <w:spacing w:line="300" w:lineRule="exact"/>
              <w:jc w:val="left"/>
              <w:outlineLvl w:val="0"/>
            </w:pPr>
          </w:p>
        </w:tc>
        <w:tc>
          <w:tcPr>
            <w:tcW w:w="737" w:type="dxa"/>
            <w:shd w:val="clear" w:color="auto" w:fill="auto"/>
            <w:vAlign w:val="center"/>
          </w:tcPr>
          <w:p w:rsidR="00E337B8" w:rsidRPr="006C5F60" w:rsidRDefault="00E337B8" w:rsidP="00FC3462">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E337B8" w:rsidRPr="006C5F60" w:rsidRDefault="00E337B8" w:rsidP="00FC3462">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E337B8" w:rsidRPr="006C5F60" w:rsidRDefault="00E337B8" w:rsidP="00FC3462">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E337B8" w:rsidRPr="006C5F60" w:rsidRDefault="00E337B8" w:rsidP="00FC3462">
            <w:pPr>
              <w:spacing w:line="300" w:lineRule="exact"/>
              <w:jc w:val="center"/>
              <w:rPr>
                <w:rFonts w:ascii="方正书宋_GBK" w:eastAsia="方正书宋_GBK"/>
                <w:b/>
              </w:rPr>
            </w:pPr>
            <w:r>
              <w:rPr>
                <w:rFonts w:ascii="方正书宋_GBK" w:eastAsia="方正书宋_GBK" w:hint="eastAsia"/>
                <w:b/>
              </w:rPr>
              <w:t>差</w:t>
            </w:r>
          </w:p>
        </w:tc>
      </w:tr>
      <w:tr w:rsidR="00E337B8" w:rsidTr="00FC3462">
        <w:tblPrEx>
          <w:tblCellMar>
            <w:top w:w="0" w:type="dxa"/>
            <w:bottom w:w="0" w:type="dxa"/>
          </w:tblCellMar>
        </w:tblPrEx>
        <w:trPr>
          <w:trHeight w:val="227"/>
          <w:jc w:val="center"/>
        </w:trPr>
        <w:tc>
          <w:tcPr>
            <w:tcW w:w="2341" w:type="dxa"/>
            <w:shd w:val="clear" w:color="auto" w:fill="auto"/>
            <w:vAlign w:val="center"/>
          </w:tcPr>
          <w:p w:rsidR="00E337B8" w:rsidRPr="006C5F60" w:rsidRDefault="00E337B8" w:rsidP="00FC3462">
            <w:pPr>
              <w:spacing w:line="300" w:lineRule="exact"/>
              <w:jc w:val="left"/>
              <w:rPr>
                <w:rFonts w:ascii="方正书宋_GBK" w:eastAsia="方正书宋_GBK"/>
                <w:b/>
              </w:rPr>
            </w:pPr>
            <w:r w:rsidRPr="006C5F60">
              <w:rPr>
                <w:rFonts w:ascii="方正书宋_GBK" w:eastAsia="方正书宋_GBK" w:hint="eastAsia"/>
                <w:b/>
              </w:rPr>
              <w:t>一、社会救助、救灾管理</w:t>
            </w:r>
          </w:p>
        </w:tc>
        <w:tc>
          <w:tcPr>
            <w:tcW w:w="1276" w:type="dxa"/>
            <w:shd w:val="clear" w:color="auto" w:fill="auto"/>
            <w:vAlign w:val="center"/>
          </w:tcPr>
          <w:p w:rsidR="00E337B8" w:rsidRPr="006C5F60" w:rsidRDefault="00E337B8" w:rsidP="00FC3462">
            <w:pPr>
              <w:spacing w:line="300" w:lineRule="exact"/>
              <w:jc w:val="left"/>
              <w:rPr>
                <w:rFonts w:ascii="方正书宋_GBK" w:eastAsia="方正书宋_GBK"/>
              </w:rPr>
            </w:pPr>
            <w:r w:rsidRPr="006C5F60">
              <w:rPr>
                <w:rFonts w:ascii="方正书宋_GBK" w:eastAsia="方正书宋_GBK"/>
              </w:rPr>
              <w:t>3796.30</w:t>
            </w:r>
          </w:p>
        </w:tc>
        <w:tc>
          <w:tcPr>
            <w:tcW w:w="2976" w:type="dxa"/>
            <w:shd w:val="clear" w:color="auto" w:fill="auto"/>
            <w:vAlign w:val="center"/>
          </w:tcPr>
          <w:p w:rsidR="00E337B8" w:rsidRPr="006C5F60" w:rsidRDefault="00E337B8" w:rsidP="00FC3462">
            <w:pPr>
              <w:spacing w:line="300" w:lineRule="exact"/>
              <w:jc w:val="left"/>
              <w:rPr>
                <w:rFonts w:ascii="方正书宋_GBK" w:eastAsia="方正书宋_GBK"/>
              </w:rPr>
            </w:pPr>
            <w:r w:rsidRPr="006C5F60">
              <w:rPr>
                <w:rFonts w:ascii="方正书宋_GBK" w:eastAsia="方正书宋_GBK" w:hint="eastAsia"/>
              </w:rPr>
              <w:t>负责城乡居民最低生活保障、五保供养、医疗救助。组织协调全县防灾减灾救灾工作。组织核查并统一发布灾情。组织指导救灾捐赠工作，负责国内外救灾捐赠款物的接收管理和分配使用。</w:t>
            </w:r>
          </w:p>
        </w:tc>
        <w:tc>
          <w:tcPr>
            <w:tcW w:w="2976" w:type="dxa"/>
            <w:shd w:val="clear" w:color="auto" w:fill="auto"/>
            <w:vAlign w:val="center"/>
          </w:tcPr>
          <w:p w:rsidR="00E337B8" w:rsidRPr="006C5F60" w:rsidRDefault="00E337B8" w:rsidP="00FC3462">
            <w:pPr>
              <w:spacing w:line="300" w:lineRule="exact"/>
              <w:jc w:val="left"/>
              <w:rPr>
                <w:rFonts w:ascii="方正书宋_GBK" w:eastAsia="方正书宋_GBK"/>
              </w:rPr>
            </w:pPr>
            <w:r w:rsidRPr="006C5F60">
              <w:rPr>
                <w:rFonts w:ascii="方正书宋_GBK" w:eastAsia="方正书宋_GBK" w:hint="eastAsia"/>
              </w:rPr>
              <w:t>完善城乡社会救助制度，实施分类救助，应保尽保,动态管理。完善全县自然灾害救助应急体系。实施分类救助，保障受灾群众基本生活。</w:t>
            </w:r>
          </w:p>
        </w:tc>
        <w:tc>
          <w:tcPr>
            <w:tcW w:w="1417" w:type="dxa"/>
            <w:shd w:val="clear" w:color="auto" w:fill="auto"/>
            <w:vAlign w:val="center"/>
          </w:tcPr>
          <w:p w:rsidR="00E337B8" w:rsidRPr="006C5F60" w:rsidRDefault="00E337B8" w:rsidP="00FC3462">
            <w:pPr>
              <w:spacing w:line="300" w:lineRule="exact"/>
              <w:jc w:val="left"/>
              <w:rPr>
                <w:rFonts w:ascii="方正书宋_GBK" w:eastAsia="方正书宋_GBK"/>
              </w:rPr>
            </w:pPr>
          </w:p>
        </w:tc>
        <w:tc>
          <w:tcPr>
            <w:tcW w:w="737" w:type="dxa"/>
            <w:shd w:val="clear" w:color="auto" w:fill="auto"/>
            <w:vAlign w:val="center"/>
          </w:tcPr>
          <w:p w:rsidR="00E337B8" w:rsidRPr="006C5F60" w:rsidRDefault="00E337B8" w:rsidP="00FC3462">
            <w:pPr>
              <w:spacing w:line="300" w:lineRule="exact"/>
              <w:jc w:val="center"/>
              <w:rPr>
                <w:rFonts w:ascii="方正书宋_GBK" w:eastAsia="方正书宋_GBK"/>
              </w:rPr>
            </w:pPr>
          </w:p>
        </w:tc>
        <w:tc>
          <w:tcPr>
            <w:tcW w:w="737" w:type="dxa"/>
            <w:shd w:val="clear" w:color="auto" w:fill="auto"/>
            <w:vAlign w:val="center"/>
          </w:tcPr>
          <w:p w:rsidR="00E337B8" w:rsidRPr="006C5F60" w:rsidRDefault="00E337B8" w:rsidP="00FC3462">
            <w:pPr>
              <w:spacing w:line="300" w:lineRule="exact"/>
              <w:jc w:val="center"/>
              <w:rPr>
                <w:rFonts w:ascii="方正书宋_GBK" w:eastAsia="方正书宋_GBK"/>
              </w:rPr>
            </w:pPr>
          </w:p>
        </w:tc>
        <w:tc>
          <w:tcPr>
            <w:tcW w:w="737" w:type="dxa"/>
            <w:shd w:val="clear" w:color="auto" w:fill="auto"/>
            <w:vAlign w:val="center"/>
          </w:tcPr>
          <w:p w:rsidR="00E337B8" w:rsidRPr="006C5F60" w:rsidRDefault="00E337B8" w:rsidP="00FC3462">
            <w:pPr>
              <w:spacing w:line="300" w:lineRule="exact"/>
              <w:jc w:val="center"/>
              <w:rPr>
                <w:rFonts w:ascii="方正书宋_GBK" w:eastAsia="方正书宋_GBK"/>
              </w:rPr>
            </w:pPr>
          </w:p>
        </w:tc>
        <w:tc>
          <w:tcPr>
            <w:tcW w:w="737" w:type="dxa"/>
            <w:shd w:val="clear" w:color="auto" w:fill="auto"/>
            <w:vAlign w:val="center"/>
          </w:tcPr>
          <w:p w:rsidR="00E337B8" w:rsidRPr="006C5F60" w:rsidRDefault="00E337B8" w:rsidP="00FC3462">
            <w:pPr>
              <w:spacing w:line="300" w:lineRule="exact"/>
              <w:jc w:val="center"/>
              <w:rPr>
                <w:rFonts w:ascii="方正书宋_GBK" w:eastAsia="方正书宋_GBK"/>
              </w:rPr>
            </w:pPr>
          </w:p>
        </w:tc>
      </w:tr>
      <w:tr w:rsidR="00E337B8" w:rsidTr="00FC3462">
        <w:tblPrEx>
          <w:tblCellMar>
            <w:top w:w="0" w:type="dxa"/>
            <w:bottom w:w="0" w:type="dxa"/>
          </w:tblCellMar>
        </w:tblPrEx>
        <w:trPr>
          <w:trHeight w:val="227"/>
          <w:jc w:val="center"/>
        </w:trPr>
        <w:tc>
          <w:tcPr>
            <w:tcW w:w="2341" w:type="dxa"/>
            <w:vMerge w:val="restart"/>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1、困难群众基本生活保障</w:t>
            </w:r>
          </w:p>
        </w:tc>
        <w:tc>
          <w:tcPr>
            <w:tcW w:w="1276" w:type="dxa"/>
            <w:vMerge w:val="restart"/>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3451.00</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负责符合条件的城乡居民最低生活保障、五保户的集中供养和分散供养、临时生活救助工作、全县城镇低收入家庭收入核定管理工作、保障孤儿基本生活，加强流浪乞讨人员救助管理，做好留守老人、妇女、</w:t>
            </w:r>
            <w:r>
              <w:rPr>
                <w:rFonts w:ascii="方正书宋_GBK" w:eastAsia="方正书宋_GBK" w:hint="eastAsia"/>
              </w:rPr>
              <w:lastRenderedPageBreak/>
              <w:t>儿童和残疾人护理保障工作。保障孤儿基本生活，组织开展全县孤残儿童手术康复，推进儿童福利机构基础设施建设。加快流浪乞讨人员、流浪未成年人救助场所的设施建设。开展未成年人社会保护试点工作。</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lastRenderedPageBreak/>
              <w:t>实行动态管理，做到应保尽保、应退尽退。农村五保供养标准、集中供养能力逐步提高。缓解意外事件对特殊困难家庭造成的生活困难。准确核查认定低保家庭经济状况。孤儿基本生活条件保障到位，孤残儿童手</w:t>
            </w:r>
            <w:r>
              <w:rPr>
                <w:rFonts w:ascii="方正书宋_GBK" w:eastAsia="方正书宋_GBK" w:hint="eastAsia"/>
              </w:rPr>
              <w:lastRenderedPageBreak/>
              <w:t>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shd w:val="clear" w:color="auto" w:fill="auto"/>
            <w:vAlign w:val="center"/>
          </w:tcPr>
          <w:p w:rsidR="00E337B8" w:rsidRPr="006C5F60" w:rsidRDefault="00E337B8" w:rsidP="00FC3462">
            <w:pPr>
              <w:spacing w:line="300" w:lineRule="exact"/>
              <w:jc w:val="left"/>
              <w:rPr>
                <w:rFonts w:ascii="方正书宋_GBK" w:eastAsia="方正书宋_GBK"/>
              </w:rPr>
            </w:pPr>
            <w:r>
              <w:rPr>
                <w:rFonts w:ascii="方正书宋_GBK" w:eastAsia="方正书宋_GBK" w:hint="eastAsia"/>
              </w:rPr>
              <w:lastRenderedPageBreak/>
              <w:t>申请低保人员核实率</w:t>
            </w:r>
          </w:p>
        </w:tc>
        <w:tc>
          <w:tcPr>
            <w:tcW w:w="737" w:type="dxa"/>
            <w:shd w:val="clear" w:color="auto" w:fill="auto"/>
            <w:vAlign w:val="center"/>
          </w:tcPr>
          <w:p w:rsidR="00E337B8" w:rsidRPr="006C5F60"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Pr="006C5F60" w:rsidRDefault="00E337B8" w:rsidP="00FC3462">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337B8" w:rsidRPr="006C5F60" w:rsidRDefault="00E337B8" w:rsidP="00FC3462">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337B8" w:rsidRPr="006C5F60" w:rsidRDefault="00E337B8" w:rsidP="00FC3462">
            <w:pPr>
              <w:spacing w:line="300" w:lineRule="exact"/>
              <w:jc w:val="center"/>
              <w:rPr>
                <w:rFonts w:ascii="方正书宋_GBK" w:eastAsia="方正书宋_GBK"/>
              </w:rPr>
            </w:pPr>
            <w:r>
              <w:rPr>
                <w:rFonts w:ascii="方正书宋_GBK" w:eastAsia="方正书宋_GBK" w:hint="eastAsia"/>
              </w:rPr>
              <w:t>≥70%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流浪救助设施完好率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&lt;80%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儿童福利机构建设按时建成率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&lt;80%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患病孤残儿童救助治愈率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≥99%</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&lt;95%</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申请低保人员核实率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≥30%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≥25%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≥20%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≥15%</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申请低保人员核实率</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≥50%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≥45%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≥40%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≥35%</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流浪应救人员的救助率</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≥98%</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&lt;95%</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低保家庭核查认定</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&lt;70%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五保供养保障率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&lt;90%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城乡居民低保保障率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&lt;90%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临时生活救助</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&lt;50%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低收入家庭取暖补助</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&lt;70%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孤儿基本生活保障率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≥99%</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&lt;95%</w:t>
            </w:r>
          </w:p>
        </w:tc>
      </w:tr>
      <w:tr w:rsidR="00E337B8" w:rsidTr="00FC3462">
        <w:tblPrEx>
          <w:tblCellMar>
            <w:top w:w="0" w:type="dxa"/>
            <w:bottom w:w="0" w:type="dxa"/>
          </w:tblCellMar>
        </w:tblPrEx>
        <w:trPr>
          <w:trHeight w:val="227"/>
          <w:jc w:val="center"/>
        </w:trPr>
        <w:tc>
          <w:tcPr>
            <w:tcW w:w="2341" w:type="dxa"/>
            <w:vMerge w:val="restart"/>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2、医疗救助</w:t>
            </w:r>
          </w:p>
        </w:tc>
        <w:tc>
          <w:tcPr>
            <w:tcW w:w="1276" w:type="dxa"/>
            <w:vMerge w:val="restart"/>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163.00</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负责城乡居民、优抚对象医疗救助、重特大疾病救助工作。</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保障困难群众获得医疗救助，降低困难居民医疗负担。优抚</w:t>
            </w:r>
            <w:r>
              <w:rPr>
                <w:rFonts w:ascii="方正书宋_GBK" w:eastAsia="方正书宋_GBK" w:hint="eastAsia"/>
              </w:rPr>
              <w:lastRenderedPageBreak/>
              <w:t>对象的医疗困难得到有效解决。</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lastRenderedPageBreak/>
              <w:t>优抚对象医疗补助到位</w:t>
            </w:r>
            <w:r>
              <w:rPr>
                <w:rFonts w:ascii="方正书宋_GBK" w:eastAsia="方正书宋_GBK" w:hint="eastAsia"/>
              </w:rPr>
              <w:lastRenderedPageBreak/>
              <w:t>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≥99%</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≥98%</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&lt;98%</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参保资助率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&lt;80%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报销比例</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≥55%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≥50%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&lt;50%</w:t>
            </w:r>
          </w:p>
        </w:tc>
      </w:tr>
      <w:tr w:rsidR="00E337B8" w:rsidTr="00FC3462">
        <w:tblPrEx>
          <w:tblCellMar>
            <w:top w:w="0" w:type="dxa"/>
            <w:bottom w:w="0" w:type="dxa"/>
          </w:tblCellMar>
        </w:tblPrEx>
        <w:trPr>
          <w:trHeight w:val="227"/>
          <w:jc w:val="center"/>
        </w:trPr>
        <w:tc>
          <w:tcPr>
            <w:tcW w:w="2341" w:type="dxa"/>
            <w:vMerge w:val="restart"/>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3、自然灾害救助</w:t>
            </w:r>
          </w:p>
        </w:tc>
        <w:tc>
          <w:tcPr>
            <w:tcW w:w="1276" w:type="dxa"/>
            <w:vMerge w:val="restart"/>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182.30</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统计、汇总、核查、会商灾情，统一发布灾情；组织协调紧急转移安置灾民；承办救灾款物分配和监管，物资调运，组织民房恢复重建及灾民生活救助。</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提高公民避灾自救能力和防灾减灾意识，提升全县重大自然灾害防御能力；完善县、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突发灾害报灾时效性和准确性</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≥85%</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&lt;85%</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物资保障受灾群众人数覆盖率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≥85%</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&lt;85%</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县级救灾物资运达灾区时间</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≥85%</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&lt;85%</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救灾捐赠资金到位率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60%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40%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冬春灾民基本生活救助资金发放率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40%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农村住房保险理赔率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&lt;80%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救灾捐赠资金到位率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&lt;80%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自然灾害救助应急预案演练次数</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≥2</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≥2</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≥1</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&lt;1</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县级救灾物资运达灾区时间</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≤12</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≤18</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≤24</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&gt;24</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突发灾害报灾时效性和准确性</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12小时内，准确度98%及以上</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24小时内，准确度95%及以上</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24小时内，准确度90%及以上</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超出24小时，准确度低于90%</w:t>
            </w:r>
          </w:p>
        </w:tc>
      </w:tr>
      <w:tr w:rsidR="00E337B8" w:rsidTr="00FC3462">
        <w:tblPrEx>
          <w:tblCellMar>
            <w:top w:w="0" w:type="dxa"/>
            <w:bottom w:w="0" w:type="dxa"/>
          </w:tblCellMar>
        </w:tblPrEx>
        <w:trPr>
          <w:trHeight w:val="227"/>
          <w:jc w:val="center"/>
        </w:trPr>
        <w:tc>
          <w:tcPr>
            <w:tcW w:w="2341" w:type="dxa"/>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二、社会福利政策及管理</w:t>
            </w:r>
          </w:p>
        </w:tc>
        <w:tc>
          <w:tcPr>
            <w:tcW w:w="1276" w:type="dxa"/>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1220.46</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对残疾人、孤儿、流浪乞讨人员、未成年人等特殊群体权益保护，发展慈善事业，推进殡葬改革，发行福利彩票，促进老龄事业发展。</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建立孤儿最低养育标准自然增长机制；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省特殊困难群体，群</w:t>
            </w:r>
            <w:r>
              <w:rPr>
                <w:rFonts w:ascii="方正书宋_GBK" w:eastAsia="方正书宋_GBK" w:hint="eastAsia"/>
              </w:rPr>
              <w:lastRenderedPageBreak/>
              <w:t>众办理丧事文明节俭。维护老年人合法权益。</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r>
      <w:tr w:rsidR="00E337B8" w:rsidTr="00FC3462">
        <w:tblPrEx>
          <w:tblCellMar>
            <w:top w:w="0" w:type="dxa"/>
            <w:bottom w:w="0" w:type="dxa"/>
          </w:tblCellMar>
        </w:tblPrEx>
        <w:trPr>
          <w:trHeight w:val="227"/>
          <w:jc w:val="center"/>
        </w:trPr>
        <w:tc>
          <w:tcPr>
            <w:tcW w:w="2341" w:type="dxa"/>
            <w:vMerge w:val="restart"/>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lastRenderedPageBreak/>
              <w:t xml:space="preserve">　　1、养老服务体系建设</w:t>
            </w:r>
          </w:p>
        </w:tc>
        <w:tc>
          <w:tcPr>
            <w:tcW w:w="1276" w:type="dxa"/>
            <w:vMerge w:val="restart"/>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727.28</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落实国家和县老龄事业发展规划，加快养老服务设施建设，落实全县养老机构设立和管理工作；加快养老服务业发展，推进老年人福利健康快速发展。建立全县贫困失能老人护理补贴制度，实施爱心护理工程。</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全面建成以居家为基础、社区为依托、机构为支撑，功能完善、规模适度、覆盖城乡的养老服务体系，实现我县老人老有所养，老有所依，老有所乐，老有所为的目标。</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老年福利（养老服务体系建设）</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60%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50%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40%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老年福利（养老服务体系建设）</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40%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老年福利（养老服务体系建设）</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50%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40%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30%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老年福利（养老服务体系建设）</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40%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20%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老年福利（养老服务体系建设）</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40%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城乡居家养老服务中心建设奖补率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&lt;70%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农村互助幸福院建设奖补率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&lt;70%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入住养老机</w:t>
            </w:r>
            <w:r>
              <w:rPr>
                <w:rFonts w:ascii="方正书宋_GBK" w:eastAsia="方正书宋_GBK" w:hint="eastAsia"/>
              </w:rPr>
              <w:lastRenderedPageBreak/>
              <w:t>构的老年人满意度</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lastRenderedPageBreak/>
              <w:t>非常</w:t>
            </w:r>
            <w:r>
              <w:rPr>
                <w:rFonts w:ascii="方正书宋_GBK" w:eastAsia="方正书宋_GBK" w:hint="eastAsia"/>
              </w:rPr>
              <w:lastRenderedPageBreak/>
              <w:t>满意</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lastRenderedPageBreak/>
              <w:t>满意</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一般</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不满</w:t>
            </w:r>
            <w:r>
              <w:rPr>
                <w:rFonts w:ascii="方正书宋_GBK" w:eastAsia="方正书宋_GBK" w:hint="eastAsia"/>
              </w:rPr>
              <w:lastRenderedPageBreak/>
              <w:t>意</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养老机构一次性建设和运营奖补率</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&lt;70%</w:t>
            </w:r>
          </w:p>
        </w:tc>
      </w:tr>
      <w:tr w:rsidR="00E337B8" w:rsidTr="00FC3462">
        <w:tblPrEx>
          <w:tblCellMar>
            <w:top w:w="0" w:type="dxa"/>
            <w:bottom w:w="0" w:type="dxa"/>
          </w:tblCellMar>
        </w:tblPrEx>
        <w:trPr>
          <w:trHeight w:val="227"/>
          <w:jc w:val="center"/>
        </w:trPr>
        <w:tc>
          <w:tcPr>
            <w:tcW w:w="2341" w:type="dxa"/>
            <w:vMerge w:val="restart"/>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2、福利和慈善事业</w:t>
            </w:r>
          </w:p>
        </w:tc>
        <w:tc>
          <w:tcPr>
            <w:tcW w:w="1276" w:type="dxa"/>
            <w:vMerge w:val="restart"/>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77.48</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推进全县慈善事业发展；负责全县福利企业认定初审、上报工作；指导全县开展精神病福利机构建设。</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切实保障福利企业残疾职工基本权益，为残障人提供优质矫形器。</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假肢假矫形器生产装配企业资格认定合格率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≥99%</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≥98%</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&lt;98%</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老年福利（养老服务体系建设）</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&lt;70%</w:t>
            </w:r>
          </w:p>
        </w:tc>
      </w:tr>
      <w:tr w:rsidR="00E337B8" w:rsidTr="00FC3462">
        <w:tblPrEx>
          <w:tblCellMar>
            <w:top w:w="0" w:type="dxa"/>
            <w:bottom w:w="0" w:type="dxa"/>
          </w:tblCellMar>
        </w:tblPrEx>
        <w:trPr>
          <w:trHeight w:val="227"/>
          <w:jc w:val="center"/>
        </w:trPr>
        <w:tc>
          <w:tcPr>
            <w:tcW w:w="2341" w:type="dxa"/>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3、殡葬服务</w:t>
            </w:r>
          </w:p>
        </w:tc>
        <w:tc>
          <w:tcPr>
            <w:tcW w:w="1276" w:type="dxa"/>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415.70</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推进殡葬设施更新改造；推进殡葬设备环保更新；推进惠民殡葬政策实施；推行生态安葬形式；规范殡仪服务管理；推进丧事简办；推行火化和丧俗改革；统一规范火化证和骨灰安放证。</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殡葬设施和设备现代、节能、节地、环保，能够满足群众需求，改善生态环境；惠民殡葬政策普及全县特殊困难群体；生态安葬形式逐步提高；群众办理丧事文明节俭；全县使用统一规范的火化证和骨灰安放证。</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殡葬设施设备年更新改造率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≥30%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≥25%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≥20%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&lt;20%</w:t>
            </w:r>
          </w:p>
        </w:tc>
      </w:tr>
      <w:tr w:rsidR="00E337B8" w:rsidTr="00FC3462">
        <w:tblPrEx>
          <w:tblCellMar>
            <w:top w:w="0" w:type="dxa"/>
            <w:bottom w:w="0" w:type="dxa"/>
          </w:tblCellMar>
        </w:tblPrEx>
        <w:trPr>
          <w:trHeight w:val="227"/>
          <w:jc w:val="center"/>
        </w:trPr>
        <w:tc>
          <w:tcPr>
            <w:tcW w:w="2341" w:type="dxa"/>
            <w:vMerge w:val="restart"/>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4、殡葬服务</w:t>
            </w:r>
          </w:p>
        </w:tc>
        <w:tc>
          <w:tcPr>
            <w:tcW w:w="1276" w:type="dxa"/>
            <w:vMerge w:val="restart"/>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推进殡葬设施更新改造；推进殡葬设备环保更新；推进惠民殡葬政策实施；推行生态安葬形式；规范殡仪服务管理；推</w:t>
            </w:r>
            <w:r>
              <w:rPr>
                <w:rFonts w:ascii="方正书宋_GBK" w:eastAsia="方正书宋_GBK" w:hint="eastAsia"/>
              </w:rPr>
              <w:lastRenderedPageBreak/>
              <w:t>进丧事简办；推行火化和丧俗改革；统一规范火化证和骨灰安放证。</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lastRenderedPageBreak/>
              <w:t>殡葬设施和设备现代、节能、节地、环保，能够满足群众需求，改善生态环境；惠民殡葬政策普及全省特殊困难群体；</w:t>
            </w:r>
            <w:r>
              <w:rPr>
                <w:rFonts w:ascii="方正书宋_GBK" w:eastAsia="方正书宋_GBK" w:hint="eastAsia"/>
              </w:rPr>
              <w:lastRenderedPageBreak/>
              <w:t>生态安葬形式逐步提高；群众办理丧事文明节俭；全省使用统一规范的火化证和骨灰安放证。</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lastRenderedPageBreak/>
              <w:t>殡葬设备环保更新率</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≥30%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≥25%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≥20%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&lt;20%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火化证及骨灰安放证统</w:t>
            </w:r>
            <w:r>
              <w:rPr>
                <w:rFonts w:ascii="方正书宋_GBK" w:eastAsia="方正书宋_GBK" w:hint="eastAsia"/>
              </w:rPr>
              <w:lastRenderedPageBreak/>
              <w:t>一规范率</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lastRenderedPageBreak/>
              <w:t>≥70%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≥65%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≥60%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&lt;60%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火化率</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≥65%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≥60%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&lt;60%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惠民殡葬政策覆盖特殊困难群体百分比</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≥98%</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&lt;95%</w:t>
            </w:r>
          </w:p>
        </w:tc>
      </w:tr>
      <w:tr w:rsidR="00E337B8" w:rsidTr="00FC3462">
        <w:tblPrEx>
          <w:tblCellMar>
            <w:top w:w="0" w:type="dxa"/>
            <w:bottom w:w="0" w:type="dxa"/>
          </w:tblCellMar>
        </w:tblPrEx>
        <w:trPr>
          <w:trHeight w:val="227"/>
          <w:jc w:val="center"/>
        </w:trPr>
        <w:tc>
          <w:tcPr>
            <w:tcW w:w="2341" w:type="dxa"/>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三、双拥优抚安置管理</w:t>
            </w:r>
          </w:p>
        </w:tc>
        <w:tc>
          <w:tcPr>
            <w:tcW w:w="1276" w:type="dxa"/>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5770.37</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指导全县拥军优属活动。组织对优抚对象的优待、抚恤的政策落实，负责全县转业士官、退役士兵及军队离退休干部、退休士官和军队无军籍退休退职职工接收工作。</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p>
        </w:tc>
      </w:tr>
      <w:tr w:rsidR="00E337B8" w:rsidTr="00FC3462">
        <w:tblPrEx>
          <w:tblCellMar>
            <w:top w:w="0" w:type="dxa"/>
            <w:bottom w:w="0" w:type="dxa"/>
          </w:tblCellMar>
        </w:tblPrEx>
        <w:trPr>
          <w:trHeight w:val="227"/>
          <w:jc w:val="center"/>
        </w:trPr>
        <w:tc>
          <w:tcPr>
            <w:tcW w:w="2341" w:type="dxa"/>
            <w:vMerge w:val="restart"/>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1、优待抚恤</w:t>
            </w:r>
          </w:p>
        </w:tc>
        <w:tc>
          <w:tcPr>
            <w:tcW w:w="1276" w:type="dxa"/>
            <w:vMerge w:val="restart"/>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4584.37</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负责全省优抚对象优待、抚恤工作；负责优抚对象数据更新管理；承担优抚对象巡诊、残疾军人康复辅助器械配备工作。</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确保优抚对象的生活水平不低于当地军民居民平均生活水平，义务兵家庭优待金及时足额兑现。</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优抚对象对优抚工作的满意度</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非常满意</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满意</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一般</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不满意</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优抚对象抚恤和生活补助足额兑现</w:t>
            </w:r>
            <w:r>
              <w:rPr>
                <w:rFonts w:ascii="方正书宋_GBK" w:eastAsia="方正书宋_GBK" w:hint="eastAsia"/>
              </w:rPr>
              <w:lastRenderedPageBreak/>
              <w:t>率</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lastRenderedPageBreak/>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≥99%</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≥98%</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&lt;98%</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残疾军人假肢等器具配备率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99%</w:t>
            </w:r>
          </w:p>
        </w:tc>
      </w:tr>
      <w:tr w:rsidR="00E337B8" w:rsidTr="00FC3462">
        <w:tblPrEx>
          <w:tblCellMar>
            <w:top w:w="0" w:type="dxa"/>
            <w:bottom w:w="0" w:type="dxa"/>
          </w:tblCellMar>
        </w:tblPrEx>
        <w:trPr>
          <w:trHeight w:val="227"/>
          <w:jc w:val="center"/>
        </w:trPr>
        <w:tc>
          <w:tcPr>
            <w:tcW w:w="2341" w:type="dxa"/>
            <w:vMerge w:val="restart"/>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2、复员退伍军人及军休安置</w:t>
            </w:r>
          </w:p>
        </w:tc>
        <w:tc>
          <w:tcPr>
            <w:tcW w:w="1276" w:type="dxa"/>
            <w:vMerge w:val="restart"/>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1067.00</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负责城镇退役士兵、转业士官安置工作；组织、指导全省退役士兵管理教育、职业技能培训、就业服务和法律援助工作；负责军队离退休干部、退休士官和军队无军籍退休退职职工接收安置和服务管理工作；负责军队离退休干部服务管理机构的建设和管理工作。</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阳光安置，保障退役士兵合法权益；加强职业教育和技能培训；按时足额发放各类经济补助。全面落实军队离退休干部、退休士官和军队无军籍退休退职职工的政治和生活待遇。</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县级军休干部医疗补助落实率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&lt;90%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1-4级伤病残购建房补助率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&lt;90%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军休干部家属遗属医疗生活补助到位率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≥60%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&lt;60%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教育培训补助率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&lt;90%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军队无军籍退休职工地方性津补贴到位率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&lt;80%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城镇退役士兵自谋职业补助率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&lt;90%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自主就业退</w:t>
            </w:r>
            <w:r>
              <w:rPr>
                <w:rFonts w:ascii="方正书宋_GBK" w:eastAsia="方正书宋_GBK" w:hint="eastAsia"/>
              </w:rPr>
              <w:lastRenderedPageBreak/>
              <w:t>役士兵补助率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hint="eastAsia"/>
              </w:rPr>
              <w:lastRenderedPageBreak/>
              <w:t>95%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lastRenderedPageBreak/>
              <w:t>&lt;90%</w:t>
            </w:r>
          </w:p>
        </w:tc>
      </w:tr>
      <w:tr w:rsidR="00E337B8" w:rsidTr="00FC3462">
        <w:tblPrEx>
          <w:tblCellMar>
            <w:top w:w="0" w:type="dxa"/>
            <w:bottom w:w="0" w:type="dxa"/>
          </w:tblCellMar>
        </w:tblPrEx>
        <w:trPr>
          <w:trHeight w:val="227"/>
          <w:jc w:val="center"/>
        </w:trPr>
        <w:tc>
          <w:tcPr>
            <w:tcW w:w="2341" w:type="dxa"/>
            <w:vMerge w:val="restart"/>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lastRenderedPageBreak/>
              <w:t xml:space="preserve">　　3、优抚事业单位能力建设</w:t>
            </w:r>
          </w:p>
        </w:tc>
        <w:tc>
          <w:tcPr>
            <w:tcW w:w="1276" w:type="dxa"/>
            <w:vMerge w:val="restart"/>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119.00</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加快全省优抚医院、光荣院建设和维修改造，提高服务保障水平，确保优抚对象基本生活和医疗；承担国家级、省级烈士纪念设施的审核报批工作，负责烈士纪念设施的保护和管理；负责全省军供站的建设与管理工作。</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优抚医院、光荣院、军供站达到国家建设标准；在院休病(养）员医疗和生活补助标准不低于全国平均水平；确保为过往军队人员提供生活保障；烈士纪念设施爱国主义教育功能日益完善，烈士褒扬系统信息完整。</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优抚院、光荣院、军供站建设标准</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达到标准</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未达到标准</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烈士陵园基础设施及配套设施完好率</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&lt;70%</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军供站设施设备完好率</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≥85%</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&lt;85%</w:t>
            </w:r>
          </w:p>
        </w:tc>
      </w:tr>
      <w:tr w:rsidR="00E337B8" w:rsidTr="00FC3462">
        <w:tblPrEx>
          <w:tblCellMar>
            <w:top w:w="0" w:type="dxa"/>
            <w:bottom w:w="0" w:type="dxa"/>
          </w:tblCellMar>
        </w:tblPrEx>
        <w:trPr>
          <w:trHeight w:val="227"/>
          <w:jc w:val="center"/>
        </w:trPr>
        <w:tc>
          <w:tcPr>
            <w:tcW w:w="2341" w:type="dxa"/>
            <w:vMerge w:val="restart"/>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4、拥军优属慰问及双拥活动</w:t>
            </w:r>
          </w:p>
        </w:tc>
        <w:tc>
          <w:tcPr>
            <w:tcW w:w="1276" w:type="dxa"/>
            <w:vMerge w:val="restart"/>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组织开展全县拥军优属慰问工作、积极开展双拥活动。慰问全县驻军和重点优抚对象</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开展双拥系列活动，宣传双拥成果，积极营造全县双拥工作氛围。慰问驻军和部分重点优抚对象</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双拥系列活动开展次数</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≥4</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≥3</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≥2</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&lt;2</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双拥活动参与群体满意度</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≥60%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&lt;60%</w:t>
            </w:r>
          </w:p>
        </w:tc>
      </w:tr>
      <w:tr w:rsidR="00E337B8" w:rsidTr="00FC3462">
        <w:tblPrEx>
          <w:tblCellMar>
            <w:top w:w="0" w:type="dxa"/>
            <w:bottom w:w="0" w:type="dxa"/>
          </w:tblCellMar>
        </w:tblPrEx>
        <w:trPr>
          <w:trHeight w:val="227"/>
          <w:jc w:val="center"/>
        </w:trPr>
        <w:tc>
          <w:tcPr>
            <w:tcW w:w="2341" w:type="dxa"/>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四、社会管理与服务</w:t>
            </w:r>
          </w:p>
        </w:tc>
        <w:tc>
          <w:tcPr>
            <w:tcW w:w="1276" w:type="dxa"/>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559.00</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承担对社会组织的登记管理；负责执行落实有关行政区划和地名管理政策；负责全县婚姻登记、涉外儿童收养登记和管理工作；组织指导基层政权和社区建设；推进社会工作人员队伍建设</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推进全县社会组织健康发展，优化行政区划空间布局，提高登记质量，规范婚姻登记、收养登记业务，建立健全城乡基层群众自治组织，逐步实现社会工作者专业化、职业化。</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p>
        </w:tc>
      </w:tr>
      <w:tr w:rsidR="00E337B8" w:rsidTr="00FC3462">
        <w:tblPrEx>
          <w:tblCellMar>
            <w:top w:w="0" w:type="dxa"/>
            <w:bottom w:w="0" w:type="dxa"/>
          </w:tblCellMar>
        </w:tblPrEx>
        <w:trPr>
          <w:trHeight w:val="227"/>
          <w:jc w:val="center"/>
        </w:trPr>
        <w:tc>
          <w:tcPr>
            <w:tcW w:w="2341" w:type="dxa"/>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1、社会组织管理</w:t>
            </w:r>
          </w:p>
        </w:tc>
        <w:tc>
          <w:tcPr>
            <w:tcW w:w="1276" w:type="dxa"/>
            <w:shd w:val="clear" w:color="auto" w:fill="auto"/>
            <w:vAlign w:val="center"/>
          </w:tcPr>
          <w:p w:rsidR="00E337B8" w:rsidRDefault="00E337B8" w:rsidP="00FC3462">
            <w:pPr>
              <w:spacing w:line="300" w:lineRule="exact"/>
              <w:jc w:val="left"/>
              <w:rPr>
                <w:rFonts w:ascii="方正书宋_GBK" w:eastAsia="方正书宋_GBK"/>
              </w:rPr>
            </w:pP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依法对社会组织进行登记管理</w:t>
            </w:r>
            <w:r>
              <w:rPr>
                <w:rFonts w:ascii="方正书宋_GBK" w:eastAsia="方正书宋_GBK" w:hint="eastAsia"/>
              </w:rPr>
              <w:lastRenderedPageBreak/>
              <w:t>和监察。</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lastRenderedPageBreak/>
              <w:t>推进全县社会组织健康发展，</w:t>
            </w:r>
            <w:r>
              <w:rPr>
                <w:rFonts w:ascii="方正书宋_GBK" w:eastAsia="方正书宋_GBK" w:hint="eastAsia"/>
              </w:rPr>
              <w:lastRenderedPageBreak/>
              <w:t>提高社会组织的社会公信力，增强社会组织服务社会的能力。</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lastRenderedPageBreak/>
              <w:t>社会组织登</w:t>
            </w:r>
            <w:r>
              <w:rPr>
                <w:rFonts w:ascii="方正书宋_GBK" w:eastAsia="方正书宋_GBK" w:hint="eastAsia"/>
              </w:rPr>
              <w:lastRenderedPageBreak/>
              <w:t>记、年检完成率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96%</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lastRenderedPageBreak/>
              <w:t>≥</w:t>
            </w:r>
            <w:r>
              <w:rPr>
                <w:rFonts w:ascii="方正书宋_GBK" w:eastAsia="方正书宋_GBK" w:hint="eastAsia"/>
              </w:rPr>
              <w:lastRenderedPageBreak/>
              <w:t>94%</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lastRenderedPageBreak/>
              <w:t>≥85</w:t>
            </w:r>
          </w:p>
        </w:tc>
      </w:tr>
      <w:tr w:rsidR="00E337B8" w:rsidTr="00FC3462">
        <w:tblPrEx>
          <w:tblCellMar>
            <w:top w:w="0" w:type="dxa"/>
            <w:bottom w:w="0" w:type="dxa"/>
          </w:tblCellMar>
        </w:tblPrEx>
        <w:trPr>
          <w:trHeight w:val="227"/>
          <w:jc w:val="center"/>
        </w:trPr>
        <w:tc>
          <w:tcPr>
            <w:tcW w:w="2341" w:type="dxa"/>
            <w:vMerge w:val="restart"/>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lastRenderedPageBreak/>
              <w:t xml:space="preserve">　　2、社会事务管理</w:t>
            </w:r>
          </w:p>
        </w:tc>
        <w:tc>
          <w:tcPr>
            <w:tcW w:w="1276" w:type="dxa"/>
            <w:vMerge w:val="restart"/>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负责全省行政区划、行政区域界线和地名管理工作，开展地名普查工作。推进婚俗改革；负责全省婚姻登记证的印制和管理，承办本省公民同外国人、华侨和港澳台同胞之间的婚姻登记；承办涉外儿童收养登记工作。</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优化空间布局，为城镇化建设助航；促进边界地区的平安和和谐发展；为社会提供方便快捷的地名公共服务。提高登记质量，规范婚姻登记、收养登记业务。</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婚姻、收养登记合格率</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≥99%</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≥98%</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&lt;98%</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第二次全国地名普查数据准确率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&lt;90%</w:t>
            </w:r>
          </w:p>
        </w:tc>
      </w:tr>
      <w:tr w:rsidR="00E337B8" w:rsidTr="00FC3462">
        <w:tblPrEx>
          <w:tblCellMar>
            <w:top w:w="0" w:type="dxa"/>
            <w:bottom w:w="0" w:type="dxa"/>
          </w:tblCellMar>
        </w:tblPrEx>
        <w:trPr>
          <w:trHeight w:val="227"/>
          <w:jc w:val="center"/>
        </w:trPr>
        <w:tc>
          <w:tcPr>
            <w:tcW w:w="2341" w:type="dxa"/>
            <w:vMerge w:val="restart"/>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3、基层政权和社区建设</w:t>
            </w:r>
          </w:p>
        </w:tc>
        <w:tc>
          <w:tcPr>
            <w:tcW w:w="1276" w:type="dxa"/>
            <w:vMerge w:val="restart"/>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559.00</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组织指导乡镇、街道办事处和基层群众自治组织、社区干部培训；指导村（居）民委员会民主选举、民主决策、民主管理和民主监督，村（居）务公开；指导城乡社区建设及服务管理工作。</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建立健全城乡基层群众自治组织，在村（居）民委员会实行“四个民主”；按照“四有一创”标准开展城市社区建设，按照农村社区建设实验全覆盖创建标准开展农村社区建设。</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农村社区建设试点单位试点情况</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高于</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持平</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低于</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hint="eastAsia"/>
              </w:rPr>
              <w:t>明显低于</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村民委员会换届选举率</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高于</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持平</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低于</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明显低于</w:t>
            </w:r>
          </w:p>
        </w:tc>
      </w:tr>
      <w:tr w:rsidR="00E337B8" w:rsidTr="00FC3462">
        <w:tblPrEx>
          <w:tblCellMar>
            <w:top w:w="0" w:type="dxa"/>
            <w:bottom w:w="0" w:type="dxa"/>
          </w:tblCellMar>
        </w:tblPrEx>
        <w:trPr>
          <w:trHeight w:val="227"/>
          <w:jc w:val="center"/>
        </w:trPr>
        <w:tc>
          <w:tcPr>
            <w:tcW w:w="2341" w:type="dxa"/>
            <w:vMerge w:val="restart"/>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4、社会工作人才队伍建设</w:t>
            </w:r>
          </w:p>
        </w:tc>
        <w:tc>
          <w:tcPr>
            <w:tcW w:w="1276" w:type="dxa"/>
            <w:vMerge w:val="restart"/>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推进全省社会工作人才队伍建设和相关志愿者队伍建设。</w:t>
            </w:r>
          </w:p>
        </w:tc>
        <w:tc>
          <w:tcPr>
            <w:tcW w:w="2976" w:type="dxa"/>
            <w:vMerge w:val="restart"/>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以人才培养为基础，以人才使用为根本，以建立健全人才评价和激励机制为保障，逐步实现社会工作专业化、职业化。</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社会工作专业人才培养计划完成率</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高于</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持平</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低于</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明显低于</w:t>
            </w:r>
          </w:p>
        </w:tc>
      </w:tr>
      <w:tr w:rsidR="00E337B8" w:rsidTr="00FC3462">
        <w:tblPrEx>
          <w:tblCellMar>
            <w:top w:w="0" w:type="dxa"/>
            <w:bottom w:w="0" w:type="dxa"/>
          </w:tblCellMar>
        </w:tblPrEx>
        <w:trPr>
          <w:trHeight w:val="227"/>
          <w:jc w:val="center"/>
        </w:trPr>
        <w:tc>
          <w:tcPr>
            <w:tcW w:w="2341" w:type="dxa"/>
            <w:vMerge/>
            <w:shd w:val="clear" w:color="auto" w:fill="auto"/>
            <w:vAlign w:val="center"/>
          </w:tcPr>
          <w:p w:rsidR="00E337B8" w:rsidRDefault="00E337B8" w:rsidP="00FC3462">
            <w:pPr>
              <w:spacing w:line="300" w:lineRule="exact"/>
              <w:jc w:val="left"/>
              <w:rPr>
                <w:rFonts w:ascii="方正书宋_GBK" w:eastAsia="方正书宋_GBK" w:hint="eastAsia"/>
                <w:b/>
              </w:rPr>
            </w:pPr>
          </w:p>
        </w:tc>
        <w:tc>
          <w:tcPr>
            <w:tcW w:w="1276" w:type="dxa"/>
            <w:vMerge/>
            <w:shd w:val="clear" w:color="auto" w:fill="auto"/>
            <w:vAlign w:val="center"/>
          </w:tcPr>
          <w:p w:rsidR="00E337B8" w:rsidRDefault="00E337B8" w:rsidP="00FC3462">
            <w:pPr>
              <w:spacing w:line="300" w:lineRule="exact"/>
              <w:jc w:val="left"/>
              <w:rPr>
                <w:rFonts w:ascii="方正书宋_GBK" w:eastAsia="方正书宋_GBK"/>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2976" w:type="dxa"/>
            <w:vMerge/>
            <w:shd w:val="clear" w:color="auto" w:fill="auto"/>
            <w:vAlign w:val="center"/>
          </w:tcPr>
          <w:p w:rsidR="00E337B8" w:rsidRDefault="00E337B8" w:rsidP="00FC3462">
            <w:pPr>
              <w:spacing w:line="300" w:lineRule="exact"/>
              <w:jc w:val="left"/>
              <w:rPr>
                <w:rFonts w:ascii="方正书宋_GBK" w:eastAsia="方正书宋_GBK" w:hint="eastAsia"/>
              </w:rPr>
            </w:pP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社会工作专业人才登记率</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高于</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持平</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低于</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明显低于</w:t>
            </w:r>
          </w:p>
        </w:tc>
      </w:tr>
      <w:tr w:rsidR="00E337B8" w:rsidTr="00FC3462">
        <w:tblPrEx>
          <w:tblCellMar>
            <w:top w:w="0" w:type="dxa"/>
            <w:bottom w:w="0" w:type="dxa"/>
          </w:tblCellMar>
        </w:tblPrEx>
        <w:trPr>
          <w:trHeight w:val="227"/>
          <w:jc w:val="center"/>
        </w:trPr>
        <w:tc>
          <w:tcPr>
            <w:tcW w:w="2341" w:type="dxa"/>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lastRenderedPageBreak/>
              <w:t>五、民政政务管理</w:t>
            </w:r>
          </w:p>
        </w:tc>
        <w:tc>
          <w:tcPr>
            <w:tcW w:w="1276" w:type="dxa"/>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287.00</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推进全县民政事业发展；负责民政事业资金管理、国有资产管理、内部审计、统计管理工作；组织民政系统干部培训教育等工作；开展全县民政系统信息化建设工作；负责本级政务公开、新闻宣传工作；承办群众的来信来访工作。</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建立和维护县民政系统政务公开平台，推进民政政府信息公开、政务公开，完成在县委、县政府系统信息考核任务；搞好群众来信来访工作，杜绝群体上访事件；民主行风评议保持全县领先地位。</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r>
      <w:tr w:rsidR="00E337B8" w:rsidTr="00FC3462">
        <w:tblPrEx>
          <w:tblCellMar>
            <w:top w:w="0" w:type="dxa"/>
            <w:bottom w:w="0" w:type="dxa"/>
          </w:tblCellMar>
        </w:tblPrEx>
        <w:trPr>
          <w:trHeight w:val="227"/>
          <w:jc w:val="center"/>
        </w:trPr>
        <w:tc>
          <w:tcPr>
            <w:tcW w:w="2341" w:type="dxa"/>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1、综合业务管理</w:t>
            </w:r>
          </w:p>
        </w:tc>
        <w:tc>
          <w:tcPr>
            <w:tcW w:w="1276" w:type="dxa"/>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287.00</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组织开展全县民政行政执法监督检查工作；负责行政许可、行政处罚听证工作；组织民政政务公开和新闻宣传。</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建立和维护县民政系统政务公开平台，推进民政政府信息公开、政务公开；搞好群众来信来访工作，杜绝群体上访事件。促进贫困地区的社会经济发展,人民生活水平得到提高。</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综合业务管理工作完成率</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rPr>
              <w:t>&lt;90%</w:t>
            </w:r>
          </w:p>
        </w:tc>
      </w:tr>
      <w:tr w:rsidR="00E337B8" w:rsidTr="00FC3462">
        <w:tblPrEx>
          <w:tblCellMar>
            <w:top w:w="0" w:type="dxa"/>
            <w:bottom w:w="0" w:type="dxa"/>
          </w:tblCellMar>
        </w:tblPrEx>
        <w:trPr>
          <w:trHeight w:val="227"/>
          <w:jc w:val="center"/>
        </w:trPr>
        <w:tc>
          <w:tcPr>
            <w:tcW w:w="2341" w:type="dxa"/>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2、综合事务管理</w:t>
            </w:r>
          </w:p>
        </w:tc>
        <w:tc>
          <w:tcPr>
            <w:tcW w:w="1276" w:type="dxa"/>
            <w:shd w:val="clear" w:color="auto" w:fill="auto"/>
            <w:vAlign w:val="center"/>
          </w:tcPr>
          <w:p w:rsidR="00E337B8" w:rsidRDefault="00E337B8" w:rsidP="00FC3462">
            <w:pPr>
              <w:spacing w:line="300" w:lineRule="exact"/>
              <w:jc w:val="left"/>
              <w:rPr>
                <w:rFonts w:ascii="方正书宋_GBK" w:eastAsia="方正书宋_GBK"/>
              </w:rPr>
            </w:pP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负责民政事业资金监督管理、国有资产管理、内部审计、统计管理工作；组织开展民政系统干部教育培训，组织全县民政信息平台建设。</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民政干部队伍素质有所提高；民政行业管理服务的专业化、科学化水平进一步提升。做好现有网站、系统、设备的维护、升级，对新建信息化项目进行科学规划和高效实施。</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综合事务管理工作完成率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&lt;90%</w:t>
            </w:r>
          </w:p>
        </w:tc>
      </w:tr>
      <w:tr w:rsidR="00E337B8" w:rsidTr="00FC3462">
        <w:tblPrEx>
          <w:tblCellMar>
            <w:top w:w="0" w:type="dxa"/>
            <w:bottom w:w="0" w:type="dxa"/>
          </w:tblCellMar>
        </w:tblPrEx>
        <w:trPr>
          <w:trHeight w:val="227"/>
          <w:jc w:val="center"/>
        </w:trPr>
        <w:tc>
          <w:tcPr>
            <w:tcW w:w="2341" w:type="dxa"/>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3、综合事务管理</w:t>
            </w:r>
          </w:p>
        </w:tc>
        <w:tc>
          <w:tcPr>
            <w:tcW w:w="1276" w:type="dxa"/>
            <w:shd w:val="clear" w:color="auto" w:fill="auto"/>
            <w:vAlign w:val="center"/>
          </w:tcPr>
          <w:p w:rsidR="00E337B8" w:rsidRDefault="00E337B8" w:rsidP="00FC3462">
            <w:pPr>
              <w:spacing w:line="300" w:lineRule="exact"/>
              <w:jc w:val="left"/>
              <w:rPr>
                <w:rFonts w:ascii="方正书宋_GBK" w:eastAsia="方正书宋_GBK"/>
              </w:rPr>
            </w:pP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整合加大扶贫投入，加强脱贫增收产业建设，提高资金使用效益，保证扶贫帮困效果，确保每年扶贫对象实现稳定脱</w:t>
            </w:r>
            <w:r>
              <w:rPr>
                <w:rFonts w:ascii="方正书宋_GBK" w:eastAsia="方正书宋_GBK" w:hint="eastAsia"/>
              </w:rPr>
              <w:lastRenderedPageBreak/>
              <w:t>贫，各扶贫重点村整体面貌明显改观。</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lastRenderedPageBreak/>
              <w:t>负责各类资金投入扶贫项目的管理，拟定扶贫开发资金和物资的分配、使用意见；广泛动员党政机关、企事业单位及社</w:t>
            </w:r>
            <w:r>
              <w:rPr>
                <w:rFonts w:ascii="方正书宋_GBK" w:eastAsia="方正书宋_GBK" w:hint="eastAsia"/>
              </w:rPr>
              <w:lastRenderedPageBreak/>
              <w:t>会力量参与扶贫开发、扶贫帮困，协调中央国家机关定点扶贫工作。</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lastRenderedPageBreak/>
              <w:t>综合事务管理工作完成率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≥60%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&lt;40%</w:t>
            </w:r>
          </w:p>
        </w:tc>
      </w:tr>
      <w:tr w:rsidR="00E337B8" w:rsidTr="00FC3462">
        <w:tblPrEx>
          <w:tblCellMar>
            <w:top w:w="0" w:type="dxa"/>
            <w:bottom w:w="0" w:type="dxa"/>
          </w:tblCellMar>
        </w:tblPrEx>
        <w:trPr>
          <w:trHeight w:val="227"/>
          <w:jc w:val="center"/>
        </w:trPr>
        <w:tc>
          <w:tcPr>
            <w:tcW w:w="2341" w:type="dxa"/>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lastRenderedPageBreak/>
              <w:t xml:space="preserve">　　4、综合事务管理</w:t>
            </w:r>
          </w:p>
        </w:tc>
        <w:tc>
          <w:tcPr>
            <w:tcW w:w="1276" w:type="dxa"/>
            <w:shd w:val="clear" w:color="auto" w:fill="auto"/>
            <w:vAlign w:val="center"/>
          </w:tcPr>
          <w:p w:rsidR="00E337B8" w:rsidRDefault="00E337B8" w:rsidP="00FC3462">
            <w:pPr>
              <w:spacing w:line="300" w:lineRule="exact"/>
              <w:jc w:val="left"/>
              <w:rPr>
                <w:rFonts w:ascii="方正书宋_GBK" w:eastAsia="方正书宋_GBK"/>
              </w:rPr>
            </w:pP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高效使用财政性扶贫开发资金，引导、放大金融资金，顺利推行项目建设、运行。</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落实财政扶贫资金项目管理办法，加强财政扶贫资金项目管理，组织实施年产业化扶贫项目。加强金融扶贫和彩票公益金项目管理。加强扶贫资金项目监管。</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综合事务管理工作完成率</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≥60%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&lt;40%</w:t>
            </w:r>
          </w:p>
        </w:tc>
      </w:tr>
      <w:tr w:rsidR="00E337B8" w:rsidTr="00FC3462">
        <w:tblPrEx>
          <w:tblCellMar>
            <w:top w:w="0" w:type="dxa"/>
            <w:bottom w:w="0" w:type="dxa"/>
          </w:tblCellMar>
        </w:tblPrEx>
        <w:trPr>
          <w:trHeight w:val="227"/>
          <w:jc w:val="center"/>
        </w:trPr>
        <w:tc>
          <w:tcPr>
            <w:tcW w:w="2341" w:type="dxa"/>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六、福彩发行费管理</w:t>
            </w:r>
          </w:p>
        </w:tc>
        <w:tc>
          <w:tcPr>
            <w:tcW w:w="1276" w:type="dxa"/>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600.00</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彩票销售管理，综合事务管理和福彩公益品牌形象建设，广告宣传，会议培训，彩票资金使用及解缴。其中销售管理下设，设备维修维护，技术系统建设运营。</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保障彩票发行费的使用效益，确保彩票市场健康稳定发展。</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p>
        </w:tc>
      </w:tr>
      <w:tr w:rsidR="00E337B8" w:rsidTr="00FC3462">
        <w:tblPrEx>
          <w:tblCellMar>
            <w:top w:w="0" w:type="dxa"/>
            <w:bottom w:w="0" w:type="dxa"/>
          </w:tblCellMar>
        </w:tblPrEx>
        <w:trPr>
          <w:trHeight w:val="227"/>
          <w:jc w:val="center"/>
        </w:trPr>
        <w:tc>
          <w:tcPr>
            <w:tcW w:w="2341" w:type="dxa"/>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1、福彩公益金</w:t>
            </w:r>
          </w:p>
        </w:tc>
        <w:tc>
          <w:tcPr>
            <w:tcW w:w="1276" w:type="dxa"/>
            <w:shd w:val="clear" w:color="auto" w:fill="auto"/>
            <w:vAlign w:val="center"/>
          </w:tcPr>
          <w:p w:rsidR="00E337B8" w:rsidRDefault="00E337B8" w:rsidP="00FC3462">
            <w:pPr>
              <w:spacing w:line="300" w:lineRule="exact"/>
              <w:jc w:val="left"/>
              <w:rPr>
                <w:rFonts w:ascii="方正书宋_GBK" w:eastAsia="方正书宋_GBK"/>
              </w:rPr>
            </w:pPr>
            <w:r>
              <w:rPr>
                <w:rFonts w:ascii="方正书宋_GBK" w:eastAsia="方正书宋_GBK"/>
              </w:rPr>
              <w:t>600.00</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保障彩票发行费的使用效益，确保彩票市场健康稳定发展。</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彩票销售管理，综合事务管理和福彩公益品牌形象建设，广告宣传，会议培训，彩票资金使用及解缴。其中销售管理下设，设备维修维护，技术系统建设运营。</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彩票发型费的收入计划</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&lt;60%</w:t>
            </w:r>
          </w:p>
        </w:tc>
      </w:tr>
      <w:tr w:rsidR="00E337B8" w:rsidTr="00FC3462">
        <w:tblPrEx>
          <w:tblCellMar>
            <w:top w:w="0" w:type="dxa"/>
            <w:bottom w:w="0" w:type="dxa"/>
          </w:tblCellMar>
        </w:tblPrEx>
        <w:trPr>
          <w:trHeight w:val="227"/>
          <w:jc w:val="center"/>
        </w:trPr>
        <w:tc>
          <w:tcPr>
            <w:tcW w:w="2341" w:type="dxa"/>
            <w:shd w:val="clear" w:color="auto" w:fill="auto"/>
            <w:vAlign w:val="center"/>
          </w:tcPr>
          <w:p w:rsidR="00E337B8" w:rsidRDefault="00E337B8" w:rsidP="00FC3462">
            <w:pPr>
              <w:spacing w:line="300" w:lineRule="exact"/>
              <w:jc w:val="left"/>
              <w:rPr>
                <w:rFonts w:ascii="方正书宋_GBK" w:eastAsia="方正书宋_GBK" w:hint="eastAsia"/>
                <w:b/>
              </w:rPr>
            </w:pPr>
            <w:r>
              <w:rPr>
                <w:rFonts w:ascii="方正书宋_GBK" w:eastAsia="方正书宋_GBK" w:hint="eastAsia"/>
                <w:b/>
              </w:rPr>
              <w:t xml:space="preserve">　　2、福彩公益金</w:t>
            </w:r>
          </w:p>
        </w:tc>
        <w:tc>
          <w:tcPr>
            <w:tcW w:w="1276" w:type="dxa"/>
            <w:shd w:val="clear" w:color="auto" w:fill="auto"/>
            <w:vAlign w:val="center"/>
          </w:tcPr>
          <w:p w:rsidR="00E337B8" w:rsidRDefault="00E337B8" w:rsidP="00FC3462">
            <w:pPr>
              <w:spacing w:line="300" w:lineRule="exact"/>
              <w:jc w:val="left"/>
              <w:rPr>
                <w:rFonts w:ascii="方正书宋_GBK" w:eastAsia="方正书宋_GBK"/>
              </w:rPr>
            </w:pP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完成省福彩中心下达的彩票销售任务</w:t>
            </w:r>
          </w:p>
        </w:tc>
        <w:tc>
          <w:tcPr>
            <w:tcW w:w="2976"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监管全市彩票市场运行情况，彩票发行费的管理工作</w:t>
            </w:r>
          </w:p>
        </w:tc>
        <w:tc>
          <w:tcPr>
            <w:tcW w:w="1417" w:type="dxa"/>
            <w:shd w:val="clear" w:color="auto" w:fill="auto"/>
            <w:vAlign w:val="center"/>
          </w:tcPr>
          <w:p w:rsidR="00E337B8" w:rsidRDefault="00E337B8" w:rsidP="00FC3462">
            <w:pPr>
              <w:spacing w:line="300" w:lineRule="exact"/>
              <w:jc w:val="left"/>
              <w:rPr>
                <w:rFonts w:ascii="方正书宋_GBK" w:eastAsia="方正书宋_GBK" w:hint="eastAsia"/>
              </w:rPr>
            </w:pPr>
            <w:r>
              <w:rPr>
                <w:rFonts w:ascii="方正书宋_GBK" w:eastAsia="方正书宋_GBK" w:hint="eastAsia"/>
              </w:rPr>
              <w:t>彩票发型费的收入计划</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E337B8" w:rsidRDefault="00E337B8" w:rsidP="00FC3462">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E337B8" w:rsidRDefault="00E337B8" w:rsidP="00FC3462">
            <w:pPr>
              <w:spacing w:line="300" w:lineRule="exact"/>
              <w:jc w:val="center"/>
              <w:rPr>
                <w:rFonts w:ascii="方正书宋_GBK" w:eastAsia="方正书宋_GBK"/>
              </w:rPr>
            </w:pPr>
            <w:r>
              <w:rPr>
                <w:rFonts w:ascii="方正书宋_GBK" w:eastAsia="方正书宋_GBK"/>
              </w:rPr>
              <w:t>&lt;60%</w:t>
            </w:r>
          </w:p>
        </w:tc>
      </w:tr>
    </w:tbl>
    <w:p w:rsidR="00F12EC9" w:rsidRPr="00B96342" w:rsidRDefault="00F12EC9">
      <w:pPr>
        <w:autoSpaceDE w:val="0"/>
        <w:autoSpaceDN w:val="0"/>
        <w:adjustRightInd w:val="0"/>
        <w:ind w:firstLineChars="200" w:firstLine="640"/>
        <w:jc w:val="left"/>
        <w:rPr>
          <w:rFonts w:ascii="黑体" w:eastAsia="黑体" w:hAnsi="黑体"/>
          <w:sz w:val="32"/>
          <w:szCs w:val="32"/>
        </w:rPr>
      </w:pPr>
      <w:r w:rsidRPr="00B96342">
        <w:rPr>
          <w:rFonts w:ascii="黑体" w:eastAsia="黑体" w:hAnsi="黑体" w:hint="eastAsia"/>
          <w:sz w:val="32"/>
          <w:szCs w:val="32"/>
        </w:rPr>
        <w:lastRenderedPageBreak/>
        <w:t>六、政府采购预算情况</w:t>
      </w:r>
    </w:p>
    <w:p w:rsidR="00F12EC9" w:rsidRPr="00B96342" w:rsidRDefault="008D0A00">
      <w:pPr>
        <w:ind w:firstLineChars="200" w:firstLine="640"/>
        <w:outlineLvl w:val="0"/>
        <w:rPr>
          <w:rFonts w:ascii="Times New Roman" w:eastAsia="方正仿宋_GBK" w:hAnsi="Times New Roman"/>
          <w:sz w:val="32"/>
          <w:szCs w:val="24"/>
        </w:rPr>
      </w:pPr>
      <w:bookmarkStart w:id="2" w:name="_Toc471398468"/>
      <w:r>
        <w:rPr>
          <w:rFonts w:ascii="仿宋" w:eastAsia="仿宋" w:hAnsi="仿宋"/>
          <w:sz w:val="32"/>
          <w:szCs w:val="24"/>
        </w:rPr>
        <w:t>2019年</w:t>
      </w:r>
      <w:r w:rsidR="00F12EC9" w:rsidRPr="00B96342">
        <w:rPr>
          <w:rFonts w:ascii="仿宋" w:eastAsia="仿宋" w:hAnsi="仿宋" w:hint="eastAsia"/>
          <w:sz w:val="32"/>
          <w:szCs w:val="24"/>
        </w:rPr>
        <w:t>，我部门</w:t>
      </w:r>
      <w:r w:rsidR="00B96342" w:rsidRPr="00B96342">
        <w:rPr>
          <w:rFonts w:ascii="仿宋" w:eastAsia="仿宋" w:hAnsi="仿宋" w:hint="eastAsia"/>
          <w:sz w:val="32"/>
          <w:szCs w:val="24"/>
        </w:rPr>
        <w:t>无政府采购预算。</w:t>
      </w:r>
    </w:p>
    <w:bookmarkEnd w:id="2"/>
    <w:p w:rsidR="00F12EC9" w:rsidRDefault="00F12EC9">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七、国有资产信息</w:t>
      </w:r>
    </w:p>
    <w:p w:rsidR="00F12EC9" w:rsidRDefault="00F12EC9">
      <w:pPr>
        <w:ind w:firstLineChars="200" w:firstLine="640"/>
        <w:rPr>
          <w:rFonts w:ascii="仿宋" w:eastAsia="仿宋" w:hAnsi="仿宋"/>
          <w:sz w:val="32"/>
          <w:szCs w:val="32"/>
        </w:rPr>
      </w:pPr>
      <w:r>
        <w:rPr>
          <w:rFonts w:ascii="仿宋" w:eastAsia="仿宋" w:hAnsi="仿宋" w:hint="eastAsia"/>
          <w:sz w:val="32"/>
          <w:szCs w:val="32"/>
        </w:rPr>
        <w:t>霸州市民政局（含所属单位）上年末固定资产金额为</w:t>
      </w:r>
      <w:r w:rsidR="00E34D99">
        <w:rPr>
          <w:rFonts w:ascii="仿宋" w:eastAsia="仿宋" w:hAnsi="仿宋" w:hint="eastAsia"/>
          <w:sz w:val="32"/>
          <w:szCs w:val="32"/>
        </w:rPr>
        <w:t>2636.05</w:t>
      </w:r>
      <w:r>
        <w:rPr>
          <w:rFonts w:ascii="仿宋" w:eastAsia="仿宋" w:hAnsi="仿宋" w:hint="eastAsia"/>
          <w:sz w:val="32"/>
          <w:szCs w:val="32"/>
        </w:rPr>
        <w:t>万</w:t>
      </w:r>
      <w:r w:rsidRPr="00B96342">
        <w:rPr>
          <w:rFonts w:ascii="仿宋" w:eastAsia="仿宋" w:hAnsi="仿宋" w:hint="eastAsia"/>
          <w:sz w:val="32"/>
          <w:szCs w:val="32"/>
        </w:rPr>
        <w:t>元</w:t>
      </w:r>
      <w:r w:rsidR="00B96342">
        <w:rPr>
          <w:rFonts w:ascii="仿宋" w:eastAsia="仿宋" w:hAnsi="仿宋" w:hint="eastAsia"/>
          <w:sz w:val="32"/>
          <w:szCs w:val="32"/>
        </w:rPr>
        <w:t>，</w:t>
      </w:r>
      <w:r w:rsidRPr="00B96342">
        <w:rPr>
          <w:rFonts w:ascii="仿宋" w:eastAsia="仿宋" w:hAnsi="仿宋" w:hint="eastAsia"/>
          <w:sz w:val="32"/>
          <w:szCs w:val="32"/>
        </w:rPr>
        <w:t>详见下表。</w:t>
      </w:r>
    </w:p>
    <w:tbl>
      <w:tblPr>
        <w:tblW w:w="13482" w:type="dxa"/>
        <w:tblInd w:w="93" w:type="dxa"/>
        <w:tblLayout w:type="fixed"/>
        <w:tblLook w:val="00A0"/>
      </w:tblPr>
      <w:tblGrid>
        <w:gridCol w:w="5224"/>
        <w:gridCol w:w="3155"/>
        <w:gridCol w:w="5103"/>
      </w:tblGrid>
      <w:tr w:rsidR="00F12EC9">
        <w:trPr>
          <w:trHeight w:val="705"/>
        </w:trPr>
        <w:tc>
          <w:tcPr>
            <w:tcW w:w="13482" w:type="dxa"/>
            <w:gridSpan w:val="3"/>
            <w:tcBorders>
              <w:top w:val="nil"/>
              <w:left w:val="nil"/>
              <w:bottom w:val="nil"/>
              <w:right w:val="nil"/>
            </w:tcBorders>
            <w:vAlign w:val="center"/>
          </w:tcPr>
          <w:p w:rsidR="00F12EC9" w:rsidRDefault="00F12EC9">
            <w:pPr>
              <w:widowControl/>
              <w:ind w:firstLineChars="200" w:firstLine="643"/>
              <w:jc w:val="center"/>
              <w:rPr>
                <w:rFonts w:ascii="宋体" w:cs="宋体"/>
                <w:b/>
                <w:bCs/>
                <w:kern w:val="0"/>
                <w:sz w:val="32"/>
                <w:szCs w:val="32"/>
              </w:rPr>
            </w:pPr>
            <w:r>
              <w:rPr>
                <w:rFonts w:ascii="宋体" w:hAnsi="宋体" w:cs="宋体" w:hint="eastAsia"/>
                <w:b/>
                <w:bCs/>
                <w:kern w:val="0"/>
                <w:sz w:val="32"/>
                <w:szCs w:val="32"/>
              </w:rPr>
              <w:t>霸州市民政局固定资产占用情况表</w:t>
            </w:r>
          </w:p>
        </w:tc>
      </w:tr>
      <w:tr w:rsidR="00F12EC9">
        <w:trPr>
          <w:trHeight w:val="510"/>
        </w:trPr>
        <w:tc>
          <w:tcPr>
            <w:tcW w:w="8379" w:type="dxa"/>
            <w:gridSpan w:val="2"/>
            <w:tcBorders>
              <w:top w:val="nil"/>
              <w:left w:val="nil"/>
              <w:bottom w:val="nil"/>
              <w:right w:val="nil"/>
            </w:tcBorders>
            <w:vAlign w:val="center"/>
          </w:tcPr>
          <w:p w:rsidR="00F12EC9" w:rsidRDefault="00F12EC9">
            <w:pPr>
              <w:widowControl/>
              <w:ind w:firstLineChars="200" w:firstLine="440"/>
              <w:jc w:val="left"/>
              <w:rPr>
                <w:rFonts w:ascii="宋体" w:cs="宋体"/>
                <w:kern w:val="0"/>
                <w:sz w:val="22"/>
              </w:rPr>
            </w:pPr>
            <w:r>
              <w:rPr>
                <w:rFonts w:ascii="宋体" w:hAnsi="宋体" w:cs="宋体" w:hint="eastAsia"/>
                <w:kern w:val="0"/>
                <w:sz w:val="22"/>
              </w:rPr>
              <w:t>编制部门：</w:t>
            </w:r>
            <w:r>
              <w:rPr>
                <w:rFonts w:ascii="宋体" w:hAnsi="宋体" w:cs="宋体"/>
                <w:kern w:val="0"/>
                <w:sz w:val="22"/>
              </w:rPr>
              <w:t>802</w:t>
            </w:r>
            <w:r>
              <w:rPr>
                <w:rFonts w:ascii="宋体" w:hAnsi="宋体" w:cs="宋体" w:hint="eastAsia"/>
                <w:kern w:val="0"/>
                <w:sz w:val="22"/>
              </w:rPr>
              <w:t>霸州市民政局</w:t>
            </w:r>
          </w:p>
        </w:tc>
        <w:tc>
          <w:tcPr>
            <w:tcW w:w="5103" w:type="dxa"/>
            <w:tcBorders>
              <w:top w:val="nil"/>
              <w:left w:val="nil"/>
              <w:bottom w:val="nil"/>
              <w:right w:val="nil"/>
            </w:tcBorders>
            <w:vAlign w:val="center"/>
          </w:tcPr>
          <w:p w:rsidR="00F12EC9" w:rsidRDefault="00F12EC9">
            <w:pPr>
              <w:widowControl/>
              <w:ind w:firstLineChars="200" w:firstLine="440"/>
              <w:jc w:val="left"/>
              <w:rPr>
                <w:rFonts w:ascii="宋体" w:cs="宋体"/>
                <w:kern w:val="0"/>
                <w:sz w:val="22"/>
              </w:rPr>
            </w:pPr>
            <w:r>
              <w:rPr>
                <w:rFonts w:ascii="宋体" w:hAnsi="宋体" w:cs="宋体" w:hint="eastAsia"/>
                <w:kern w:val="0"/>
                <w:sz w:val="22"/>
              </w:rPr>
              <w:t>截止时间：</w:t>
            </w:r>
            <w:r w:rsidR="008D0A00">
              <w:rPr>
                <w:rFonts w:ascii="宋体" w:hAnsi="宋体" w:cs="宋体"/>
                <w:kern w:val="0"/>
                <w:sz w:val="22"/>
              </w:rPr>
              <w:t>2018年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F12EC9">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F12EC9" w:rsidRDefault="00F12EC9">
            <w:pPr>
              <w:widowControl/>
              <w:ind w:firstLineChars="200" w:firstLine="442"/>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F12EC9" w:rsidRDefault="00F12EC9">
            <w:pPr>
              <w:widowControl/>
              <w:ind w:firstLineChars="200" w:firstLine="442"/>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F12EC9" w:rsidRDefault="00F12EC9">
            <w:pPr>
              <w:widowControl/>
              <w:ind w:firstLineChars="200" w:firstLine="442"/>
              <w:jc w:val="center"/>
              <w:rPr>
                <w:rFonts w:ascii="宋体" w:cs="宋体"/>
                <w:b/>
                <w:bCs/>
                <w:kern w:val="0"/>
                <w:sz w:val="22"/>
              </w:rPr>
            </w:pPr>
            <w:r>
              <w:rPr>
                <w:rFonts w:ascii="宋体" w:hAnsi="宋体" w:cs="宋体" w:hint="eastAsia"/>
                <w:b/>
                <w:bCs/>
                <w:kern w:val="0"/>
                <w:sz w:val="22"/>
              </w:rPr>
              <w:t>价值（金额单位：万元）</w:t>
            </w:r>
          </w:p>
        </w:tc>
      </w:tr>
      <w:tr w:rsidR="00F12EC9">
        <w:trPr>
          <w:trHeight w:val="645"/>
        </w:trPr>
        <w:tc>
          <w:tcPr>
            <w:tcW w:w="5224" w:type="dxa"/>
            <w:tcBorders>
              <w:top w:val="nil"/>
              <w:left w:val="single" w:sz="4" w:space="0" w:color="auto"/>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F12EC9" w:rsidRDefault="00E34D99">
            <w:pPr>
              <w:widowControl/>
              <w:ind w:firstLineChars="200" w:firstLine="440"/>
              <w:jc w:val="center"/>
              <w:rPr>
                <w:rFonts w:ascii="宋体" w:cs="宋体"/>
                <w:kern w:val="0"/>
                <w:sz w:val="22"/>
              </w:rPr>
            </w:pPr>
            <w:r>
              <w:rPr>
                <w:rFonts w:ascii="宋体" w:cs="宋体" w:hint="eastAsia"/>
                <w:kern w:val="0"/>
                <w:sz w:val="22"/>
              </w:rPr>
              <w:t>2636.05</w:t>
            </w:r>
          </w:p>
        </w:tc>
      </w:tr>
      <w:tr w:rsidR="00F12EC9">
        <w:trPr>
          <w:trHeight w:val="645"/>
        </w:trPr>
        <w:tc>
          <w:tcPr>
            <w:tcW w:w="5224" w:type="dxa"/>
            <w:tcBorders>
              <w:top w:val="nil"/>
              <w:left w:val="single" w:sz="4" w:space="0" w:color="auto"/>
              <w:bottom w:val="single" w:sz="4" w:space="0" w:color="auto"/>
              <w:right w:val="single" w:sz="4" w:space="0" w:color="auto"/>
            </w:tcBorders>
            <w:vAlign w:val="center"/>
          </w:tcPr>
          <w:p w:rsidR="00F12EC9" w:rsidRDefault="00F12EC9">
            <w:pPr>
              <w:widowControl/>
              <w:ind w:firstLineChars="200" w:firstLine="440"/>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F12EC9" w:rsidRDefault="00A3631C">
            <w:pPr>
              <w:widowControl/>
              <w:ind w:firstLineChars="200" w:firstLine="440"/>
              <w:jc w:val="center"/>
              <w:rPr>
                <w:rFonts w:ascii="宋体" w:cs="宋体"/>
                <w:kern w:val="0"/>
                <w:sz w:val="22"/>
              </w:rPr>
            </w:pPr>
            <w:r>
              <w:rPr>
                <w:rFonts w:ascii="宋体" w:cs="宋体" w:hint="eastAsia"/>
                <w:kern w:val="0"/>
                <w:sz w:val="22"/>
              </w:rPr>
              <w:t>11830</w:t>
            </w:r>
          </w:p>
        </w:tc>
        <w:tc>
          <w:tcPr>
            <w:tcW w:w="5103" w:type="dxa"/>
            <w:tcBorders>
              <w:top w:val="nil"/>
              <w:left w:val="nil"/>
              <w:bottom w:val="single" w:sz="4" w:space="0" w:color="auto"/>
              <w:right w:val="single" w:sz="4" w:space="0" w:color="auto"/>
            </w:tcBorders>
            <w:vAlign w:val="center"/>
          </w:tcPr>
          <w:p w:rsidR="00F12EC9" w:rsidRDefault="00A3631C">
            <w:pPr>
              <w:widowControl/>
              <w:ind w:firstLineChars="200" w:firstLine="440"/>
              <w:jc w:val="center"/>
              <w:rPr>
                <w:rFonts w:ascii="宋体" w:cs="宋体"/>
                <w:kern w:val="0"/>
                <w:sz w:val="22"/>
              </w:rPr>
            </w:pPr>
            <w:r>
              <w:rPr>
                <w:rFonts w:ascii="宋体" w:cs="宋体" w:hint="eastAsia"/>
                <w:kern w:val="0"/>
                <w:sz w:val="22"/>
              </w:rPr>
              <w:t>2118.46</w:t>
            </w:r>
          </w:p>
        </w:tc>
      </w:tr>
      <w:tr w:rsidR="00F12EC9">
        <w:trPr>
          <w:trHeight w:val="645"/>
        </w:trPr>
        <w:tc>
          <w:tcPr>
            <w:tcW w:w="5224" w:type="dxa"/>
            <w:tcBorders>
              <w:top w:val="nil"/>
              <w:left w:val="single" w:sz="4" w:space="0" w:color="auto"/>
              <w:bottom w:val="single" w:sz="4" w:space="0" w:color="auto"/>
              <w:right w:val="single" w:sz="4" w:space="0" w:color="auto"/>
            </w:tcBorders>
            <w:vAlign w:val="center"/>
          </w:tcPr>
          <w:p w:rsidR="00F12EC9" w:rsidRDefault="00F12EC9">
            <w:pPr>
              <w:widowControl/>
              <w:ind w:firstLineChars="200" w:firstLine="440"/>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F12EC9" w:rsidRDefault="00A3631C">
            <w:pPr>
              <w:widowControl/>
              <w:ind w:firstLineChars="200" w:firstLine="440"/>
              <w:jc w:val="center"/>
              <w:rPr>
                <w:rFonts w:ascii="宋体" w:cs="宋体"/>
                <w:kern w:val="0"/>
                <w:sz w:val="22"/>
              </w:rPr>
            </w:pPr>
            <w:r>
              <w:rPr>
                <w:rFonts w:ascii="宋体" w:cs="宋体" w:hint="eastAsia"/>
                <w:kern w:val="0"/>
                <w:sz w:val="22"/>
              </w:rPr>
              <w:t>11830</w:t>
            </w:r>
          </w:p>
        </w:tc>
        <w:tc>
          <w:tcPr>
            <w:tcW w:w="5103" w:type="dxa"/>
            <w:tcBorders>
              <w:top w:val="nil"/>
              <w:left w:val="nil"/>
              <w:bottom w:val="single" w:sz="4" w:space="0" w:color="auto"/>
              <w:right w:val="single" w:sz="4" w:space="0" w:color="auto"/>
            </w:tcBorders>
            <w:vAlign w:val="center"/>
          </w:tcPr>
          <w:p w:rsidR="00F12EC9" w:rsidRDefault="00A3631C">
            <w:pPr>
              <w:widowControl/>
              <w:ind w:firstLineChars="200" w:firstLine="440"/>
              <w:jc w:val="center"/>
              <w:rPr>
                <w:rFonts w:ascii="宋体" w:cs="宋体"/>
                <w:kern w:val="0"/>
                <w:sz w:val="22"/>
              </w:rPr>
            </w:pPr>
            <w:r>
              <w:rPr>
                <w:rFonts w:ascii="宋体" w:cs="宋体" w:hint="eastAsia"/>
                <w:kern w:val="0"/>
                <w:sz w:val="22"/>
              </w:rPr>
              <w:t>2118.46</w:t>
            </w:r>
          </w:p>
        </w:tc>
      </w:tr>
      <w:tr w:rsidR="00F12EC9">
        <w:trPr>
          <w:trHeight w:val="645"/>
        </w:trPr>
        <w:tc>
          <w:tcPr>
            <w:tcW w:w="5224" w:type="dxa"/>
            <w:tcBorders>
              <w:top w:val="nil"/>
              <w:left w:val="single" w:sz="4" w:space="0" w:color="auto"/>
              <w:bottom w:val="single" w:sz="4" w:space="0" w:color="auto"/>
              <w:right w:val="single" w:sz="4" w:space="0" w:color="auto"/>
            </w:tcBorders>
            <w:vAlign w:val="center"/>
          </w:tcPr>
          <w:p w:rsidR="00F12EC9" w:rsidRDefault="00F12EC9">
            <w:pPr>
              <w:widowControl/>
              <w:ind w:firstLineChars="200" w:firstLine="440"/>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vAlign w:val="center"/>
          </w:tcPr>
          <w:p w:rsidR="00F12EC9" w:rsidRDefault="00E34D99">
            <w:pPr>
              <w:widowControl/>
              <w:ind w:firstLineChars="200" w:firstLine="440"/>
              <w:jc w:val="center"/>
              <w:rPr>
                <w:rFonts w:ascii="宋体" w:cs="宋体"/>
                <w:kern w:val="0"/>
                <w:sz w:val="22"/>
              </w:rPr>
            </w:pPr>
            <w:r>
              <w:rPr>
                <w:rFonts w:ascii="宋体" w:cs="宋体" w:hint="eastAsia"/>
                <w:kern w:val="0"/>
                <w:sz w:val="22"/>
              </w:rPr>
              <w:t>10</w:t>
            </w:r>
          </w:p>
        </w:tc>
        <w:tc>
          <w:tcPr>
            <w:tcW w:w="5103" w:type="dxa"/>
            <w:tcBorders>
              <w:top w:val="nil"/>
              <w:left w:val="nil"/>
              <w:bottom w:val="single" w:sz="4" w:space="0" w:color="auto"/>
              <w:right w:val="single" w:sz="4" w:space="0" w:color="auto"/>
            </w:tcBorders>
            <w:vAlign w:val="center"/>
          </w:tcPr>
          <w:p w:rsidR="00F12EC9" w:rsidRDefault="00E34D99">
            <w:pPr>
              <w:widowControl/>
              <w:ind w:firstLineChars="200" w:firstLine="440"/>
              <w:jc w:val="center"/>
              <w:rPr>
                <w:rFonts w:ascii="宋体" w:cs="宋体"/>
                <w:kern w:val="0"/>
                <w:sz w:val="22"/>
              </w:rPr>
            </w:pPr>
            <w:r>
              <w:rPr>
                <w:rFonts w:ascii="宋体" w:cs="宋体" w:hint="eastAsia"/>
                <w:kern w:val="0"/>
                <w:sz w:val="22"/>
              </w:rPr>
              <w:t>109.24</w:t>
            </w:r>
          </w:p>
        </w:tc>
      </w:tr>
      <w:tr w:rsidR="00F12EC9">
        <w:trPr>
          <w:trHeight w:val="645"/>
        </w:trPr>
        <w:tc>
          <w:tcPr>
            <w:tcW w:w="5224" w:type="dxa"/>
            <w:tcBorders>
              <w:top w:val="nil"/>
              <w:left w:val="single" w:sz="4" w:space="0" w:color="auto"/>
              <w:bottom w:val="single" w:sz="4" w:space="0" w:color="auto"/>
              <w:right w:val="single" w:sz="4" w:space="0" w:color="auto"/>
            </w:tcBorders>
            <w:vAlign w:val="center"/>
          </w:tcPr>
          <w:p w:rsidR="00F12EC9" w:rsidRDefault="00F12EC9">
            <w:pPr>
              <w:widowControl/>
              <w:ind w:firstLineChars="200" w:firstLine="440"/>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p>
        </w:tc>
      </w:tr>
      <w:tr w:rsidR="00F12EC9">
        <w:trPr>
          <w:trHeight w:val="645"/>
        </w:trPr>
        <w:tc>
          <w:tcPr>
            <w:tcW w:w="5224" w:type="dxa"/>
            <w:tcBorders>
              <w:top w:val="nil"/>
              <w:left w:val="single" w:sz="4" w:space="0" w:color="auto"/>
              <w:bottom w:val="single" w:sz="4" w:space="0" w:color="auto"/>
              <w:right w:val="single" w:sz="4" w:space="0" w:color="auto"/>
            </w:tcBorders>
            <w:vAlign w:val="center"/>
          </w:tcPr>
          <w:p w:rsidR="00F12EC9" w:rsidRDefault="00F12EC9">
            <w:pPr>
              <w:widowControl/>
              <w:ind w:firstLineChars="200" w:firstLine="440"/>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F12EC9" w:rsidRDefault="00E34D99" w:rsidP="00A3631C">
            <w:pPr>
              <w:widowControl/>
              <w:ind w:firstLineChars="200" w:firstLine="440"/>
              <w:jc w:val="center"/>
              <w:rPr>
                <w:rFonts w:ascii="宋体" w:cs="宋体"/>
                <w:kern w:val="0"/>
                <w:sz w:val="22"/>
              </w:rPr>
            </w:pPr>
            <w:r>
              <w:rPr>
                <w:rFonts w:ascii="宋体" w:cs="宋体" w:hint="eastAsia"/>
                <w:kern w:val="0"/>
                <w:sz w:val="22"/>
              </w:rPr>
              <w:t>408.35</w:t>
            </w:r>
          </w:p>
        </w:tc>
      </w:tr>
    </w:tbl>
    <w:p w:rsidR="00F12EC9" w:rsidRDefault="00F12EC9">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lastRenderedPageBreak/>
        <w:t>八、名词解释</w:t>
      </w:r>
    </w:p>
    <w:p w:rsidR="00F12EC9" w:rsidRPr="00207CAD" w:rsidRDefault="00F12EC9" w:rsidP="00387DAF">
      <w:pPr>
        <w:pStyle w:val="Default"/>
        <w:ind w:firstLineChars="196" w:firstLine="630"/>
        <w:rPr>
          <w:rFonts w:ascii="仿宋_GB2312" w:eastAsia="仿宋_GB2312"/>
          <w:b/>
          <w:bCs/>
          <w:sz w:val="32"/>
          <w:szCs w:val="32"/>
        </w:rPr>
      </w:pPr>
      <w:r w:rsidRPr="00207CAD">
        <w:rPr>
          <w:rFonts w:ascii="仿宋_GB2312" w:eastAsia="仿宋_GB2312"/>
          <w:b/>
          <w:bCs/>
          <w:sz w:val="32"/>
          <w:szCs w:val="32"/>
        </w:rPr>
        <w:t>1</w:t>
      </w:r>
      <w:r w:rsidRPr="00207CAD">
        <w:rPr>
          <w:rFonts w:ascii="仿宋_GB2312" w:eastAsia="仿宋_GB2312" w:hAnsi="FZFangSong-Z02" w:cs="FZFangSong-Z02" w:hint="eastAsia"/>
          <w:sz w:val="32"/>
          <w:szCs w:val="32"/>
        </w:rPr>
        <w:t>、一般公共预算拨款收入：指市级财政当年拨付的资金。</w:t>
      </w:r>
    </w:p>
    <w:p w:rsidR="00F12EC9" w:rsidRPr="00207CAD" w:rsidRDefault="00F12EC9" w:rsidP="00387DAF">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F12EC9" w:rsidRPr="00207CAD" w:rsidRDefault="00F12EC9" w:rsidP="00387DAF">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F12EC9" w:rsidRPr="00207CAD" w:rsidRDefault="00F12EC9" w:rsidP="00387DAF">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F12EC9" w:rsidRPr="00207CAD" w:rsidRDefault="00F12EC9" w:rsidP="00387DAF">
      <w:pPr>
        <w:rPr>
          <w:rFonts w:ascii="仿宋_GB2312" w:eastAsia="仿宋_GB2312"/>
          <w:sz w:val="32"/>
          <w:szCs w:val="32"/>
        </w:rPr>
      </w:pPr>
      <w:r w:rsidRPr="00207CAD">
        <w:rPr>
          <w:rFonts w:ascii="仿宋_GB2312" w:eastAsia="仿宋_GB2312"/>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F12EC9" w:rsidRPr="00207CAD" w:rsidRDefault="00F12EC9" w:rsidP="00387DAF">
      <w:pPr>
        <w:pStyle w:val="Default"/>
        <w:rPr>
          <w:rFonts w:ascii="仿宋_GB2312" w:eastAsia="仿宋_GB2312"/>
          <w:sz w:val="32"/>
          <w:szCs w:val="32"/>
        </w:rPr>
      </w:pPr>
      <w:r w:rsidRPr="00207CAD">
        <w:rPr>
          <w:rFonts w:ascii="仿宋_GB2312" w:eastAsia="仿宋_GB2312"/>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F12EC9" w:rsidRPr="00207CAD" w:rsidRDefault="00F12EC9" w:rsidP="00387DAF">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经费：纳入市级财政预算管理的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F12EC9" w:rsidRPr="00387DAF" w:rsidRDefault="00F12EC9" w:rsidP="00387DAF">
      <w:pPr>
        <w:rPr>
          <w:rFonts w:ascii="仿宋_GB2312" w:eastAsia="仿宋_GB2312" w:hAnsi="FZFangSong-Z02" w:cs="FZFangSong-Z02"/>
          <w:sz w:val="32"/>
          <w:szCs w:val="32"/>
        </w:rPr>
      </w:pPr>
      <w:r w:rsidRPr="00207CAD">
        <w:rPr>
          <w:rFonts w:ascii="仿宋_GB2312" w:eastAsia="仿宋_GB2312"/>
          <w:b/>
          <w:bCs/>
          <w:sz w:val="32"/>
          <w:szCs w:val="32"/>
        </w:rPr>
        <w:lastRenderedPageBreak/>
        <w:t xml:space="preserve">    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F12EC9" w:rsidRDefault="00F12EC9">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九、其它需要说明的事项</w:t>
      </w:r>
    </w:p>
    <w:p w:rsidR="00F12EC9" w:rsidRDefault="00F12EC9">
      <w:pPr>
        <w:tabs>
          <w:tab w:val="left" w:pos="11490"/>
        </w:tabs>
        <w:ind w:firstLineChars="200" w:firstLine="640"/>
        <w:rPr>
          <w:rFonts w:ascii="仿宋" w:eastAsia="仿宋" w:hAnsi="仿宋"/>
          <w:sz w:val="32"/>
          <w:szCs w:val="32"/>
        </w:rPr>
      </w:pPr>
      <w:r>
        <w:rPr>
          <w:rFonts w:ascii="仿宋" w:eastAsia="仿宋" w:hAnsi="仿宋" w:hint="eastAsia"/>
          <w:sz w:val="32"/>
          <w:szCs w:val="32"/>
        </w:rPr>
        <w:t>无其它需要说明的事项。</w:t>
      </w:r>
    </w:p>
    <w:p w:rsidR="00F12EC9" w:rsidRDefault="00F12EC9">
      <w:pPr>
        <w:autoSpaceDE w:val="0"/>
        <w:autoSpaceDN w:val="0"/>
        <w:adjustRightInd w:val="0"/>
        <w:ind w:firstLineChars="200" w:firstLine="640"/>
        <w:jc w:val="left"/>
        <w:rPr>
          <w:rFonts w:ascii="仿宋" w:eastAsia="仿宋" w:hAnsi="仿宋"/>
          <w:sz w:val="32"/>
          <w:szCs w:val="32"/>
        </w:rPr>
      </w:pPr>
    </w:p>
    <w:sectPr w:rsidR="00F12EC9" w:rsidSect="00F95F0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3AD" w:rsidRDefault="002133AD" w:rsidP="0049223D">
      <w:r>
        <w:separator/>
      </w:r>
    </w:p>
  </w:endnote>
  <w:endnote w:type="continuationSeparator" w:id="1">
    <w:p w:rsidR="002133AD" w:rsidRDefault="002133AD" w:rsidP="004922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3AD" w:rsidRDefault="002133AD" w:rsidP="0049223D">
      <w:r>
        <w:separator/>
      </w:r>
    </w:p>
  </w:footnote>
  <w:footnote w:type="continuationSeparator" w:id="1">
    <w:p w:rsidR="002133AD" w:rsidRDefault="002133AD" w:rsidP="0049223D">
      <w:r>
        <w:continuationSeparator/>
      </w:r>
    </w:p>
  </w:footnote>
  <w:footnote w:id="2">
    <w:p w:rsidR="00E337B8" w:rsidRDefault="00E337B8" w:rsidP="00E337B8">
      <w:pPr>
        <w:pStyle w:val="a6"/>
        <w:rPr>
          <w:rFonts w:hint="eastAsia"/>
        </w:rPr>
      </w:pPr>
      <w:r w:rsidRPr="006C5F60">
        <w:rPr>
          <w:rStyle w:val="a5"/>
        </w:rPr>
        <w:sym w:font="Symbol" w:char="F020"/>
      </w:r>
      <w:r w:rsidRPr="006C5F60">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E72"/>
    <w:rsid w:val="000377D0"/>
    <w:rsid w:val="00037AF6"/>
    <w:rsid w:val="00045A61"/>
    <w:rsid w:val="00075D5F"/>
    <w:rsid w:val="000870D6"/>
    <w:rsid w:val="000C3A19"/>
    <w:rsid w:val="000F187E"/>
    <w:rsid w:val="001245BB"/>
    <w:rsid w:val="00130426"/>
    <w:rsid w:val="00156BF4"/>
    <w:rsid w:val="00164031"/>
    <w:rsid w:val="0018185C"/>
    <w:rsid w:val="0018479D"/>
    <w:rsid w:val="001E6E9B"/>
    <w:rsid w:val="00207343"/>
    <w:rsid w:val="00207CAD"/>
    <w:rsid w:val="002133AD"/>
    <w:rsid w:val="002417FC"/>
    <w:rsid w:val="00241FD4"/>
    <w:rsid w:val="00251B12"/>
    <w:rsid w:val="002645FB"/>
    <w:rsid w:val="00290744"/>
    <w:rsid w:val="00296113"/>
    <w:rsid w:val="002A144C"/>
    <w:rsid w:val="002A591B"/>
    <w:rsid w:val="002B5488"/>
    <w:rsid w:val="002C0236"/>
    <w:rsid w:val="002D0C78"/>
    <w:rsid w:val="002E4253"/>
    <w:rsid w:val="002F3E58"/>
    <w:rsid w:val="0030542C"/>
    <w:rsid w:val="00311ACF"/>
    <w:rsid w:val="00311B7A"/>
    <w:rsid w:val="00350EF3"/>
    <w:rsid w:val="00354345"/>
    <w:rsid w:val="00354578"/>
    <w:rsid w:val="003772E7"/>
    <w:rsid w:val="00377B38"/>
    <w:rsid w:val="00387DAF"/>
    <w:rsid w:val="003A42AA"/>
    <w:rsid w:val="003A4525"/>
    <w:rsid w:val="003A69EE"/>
    <w:rsid w:val="003D6BD3"/>
    <w:rsid w:val="003E1A7F"/>
    <w:rsid w:val="003F6C81"/>
    <w:rsid w:val="003F6ED1"/>
    <w:rsid w:val="003F7478"/>
    <w:rsid w:val="00424B7F"/>
    <w:rsid w:val="00451871"/>
    <w:rsid w:val="004537CA"/>
    <w:rsid w:val="00472923"/>
    <w:rsid w:val="00491FEA"/>
    <w:rsid w:val="0049223D"/>
    <w:rsid w:val="00492A67"/>
    <w:rsid w:val="004A439E"/>
    <w:rsid w:val="004A7785"/>
    <w:rsid w:val="004E2449"/>
    <w:rsid w:val="004E3066"/>
    <w:rsid w:val="004E4D22"/>
    <w:rsid w:val="004E74CD"/>
    <w:rsid w:val="004F14BB"/>
    <w:rsid w:val="00503846"/>
    <w:rsid w:val="00505D2C"/>
    <w:rsid w:val="00542BDE"/>
    <w:rsid w:val="00542D7E"/>
    <w:rsid w:val="00573562"/>
    <w:rsid w:val="00574E43"/>
    <w:rsid w:val="005B03CA"/>
    <w:rsid w:val="005C0C90"/>
    <w:rsid w:val="005D555C"/>
    <w:rsid w:val="005E1634"/>
    <w:rsid w:val="005E696C"/>
    <w:rsid w:val="005F728D"/>
    <w:rsid w:val="0061412A"/>
    <w:rsid w:val="00614A29"/>
    <w:rsid w:val="006436FF"/>
    <w:rsid w:val="00663D77"/>
    <w:rsid w:val="006705E2"/>
    <w:rsid w:val="006A07EE"/>
    <w:rsid w:val="006D6291"/>
    <w:rsid w:val="00716635"/>
    <w:rsid w:val="0075393C"/>
    <w:rsid w:val="00765DB5"/>
    <w:rsid w:val="00776C08"/>
    <w:rsid w:val="00783541"/>
    <w:rsid w:val="00793D26"/>
    <w:rsid w:val="007B4EE0"/>
    <w:rsid w:val="007E1DA8"/>
    <w:rsid w:val="007E7511"/>
    <w:rsid w:val="007F6C26"/>
    <w:rsid w:val="00817462"/>
    <w:rsid w:val="0082170A"/>
    <w:rsid w:val="008334AE"/>
    <w:rsid w:val="00836FED"/>
    <w:rsid w:val="00845CD2"/>
    <w:rsid w:val="008502D8"/>
    <w:rsid w:val="00852B0D"/>
    <w:rsid w:val="00852C92"/>
    <w:rsid w:val="00874FC4"/>
    <w:rsid w:val="008767E3"/>
    <w:rsid w:val="00881692"/>
    <w:rsid w:val="0089658F"/>
    <w:rsid w:val="008B3CC5"/>
    <w:rsid w:val="008C2BAF"/>
    <w:rsid w:val="008D0A00"/>
    <w:rsid w:val="008E4261"/>
    <w:rsid w:val="008F4435"/>
    <w:rsid w:val="008F4662"/>
    <w:rsid w:val="00905D08"/>
    <w:rsid w:val="00915CED"/>
    <w:rsid w:val="00925753"/>
    <w:rsid w:val="00925CD3"/>
    <w:rsid w:val="00966C5C"/>
    <w:rsid w:val="00970EDC"/>
    <w:rsid w:val="00973104"/>
    <w:rsid w:val="009A4035"/>
    <w:rsid w:val="009E2D26"/>
    <w:rsid w:val="009E7396"/>
    <w:rsid w:val="00A01072"/>
    <w:rsid w:val="00A3631C"/>
    <w:rsid w:val="00A421CD"/>
    <w:rsid w:val="00A63F42"/>
    <w:rsid w:val="00A72D2E"/>
    <w:rsid w:val="00A77056"/>
    <w:rsid w:val="00A911E7"/>
    <w:rsid w:val="00A939D9"/>
    <w:rsid w:val="00AD6A87"/>
    <w:rsid w:val="00AE7D3D"/>
    <w:rsid w:val="00B07F37"/>
    <w:rsid w:val="00B20712"/>
    <w:rsid w:val="00B33883"/>
    <w:rsid w:val="00B43238"/>
    <w:rsid w:val="00B45D1D"/>
    <w:rsid w:val="00B75216"/>
    <w:rsid w:val="00B76819"/>
    <w:rsid w:val="00B91D52"/>
    <w:rsid w:val="00B96342"/>
    <w:rsid w:val="00BA1ACD"/>
    <w:rsid w:val="00C2109D"/>
    <w:rsid w:val="00C4274D"/>
    <w:rsid w:val="00C45302"/>
    <w:rsid w:val="00CA7176"/>
    <w:rsid w:val="00CC1291"/>
    <w:rsid w:val="00CD2773"/>
    <w:rsid w:val="00CE143B"/>
    <w:rsid w:val="00CE7982"/>
    <w:rsid w:val="00CF155A"/>
    <w:rsid w:val="00D01473"/>
    <w:rsid w:val="00D61998"/>
    <w:rsid w:val="00D637F2"/>
    <w:rsid w:val="00D638E3"/>
    <w:rsid w:val="00D73A1E"/>
    <w:rsid w:val="00D77644"/>
    <w:rsid w:val="00D83B32"/>
    <w:rsid w:val="00D900E6"/>
    <w:rsid w:val="00D9708D"/>
    <w:rsid w:val="00DC2EBE"/>
    <w:rsid w:val="00DD504F"/>
    <w:rsid w:val="00E137EF"/>
    <w:rsid w:val="00E14843"/>
    <w:rsid w:val="00E167C7"/>
    <w:rsid w:val="00E337B8"/>
    <w:rsid w:val="00E34D99"/>
    <w:rsid w:val="00E4508D"/>
    <w:rsid w:val="00E609B3"/>
    <w:rsid w:val="00E62488"/>
    <w:rsid w:val="00E81411"/>
    <w:rsid w:val="00E8647D"/>
    <w:rsid w:val="00EB226E"/>
    <w:rsid w:val="00EC47F6"/>
    <w:rsid w:val="00ED636D"/>
    <w:rsid w:val="00EE1B43"/>
    <w:rsid w:val="00F12EC9"/>
    <w:rsid w:val="00F153EF"/>
    <w:rsid w:val="00F3253E"/>
    <w:rsid w:val="00F367E8"/>
    <w:rsid w:val="00F55FB6"/>
    <w:rsid w:val="00F66032"/>
    <w:rsid w:val="00F77C10"/>
    <w:rsid w:val="00F958C2"/>
    <w:rsid w:val="00F95F03"/>
    <w:rsid w:val="00FA461C"/>
    <w:rsid w:val="02C776F7"/>
    <w:rsid w:val="232E33EB"/>
    <w:rsid w:val="42403699"/>
    <w:rsid w:val="56CB7F16"/>
    <w:rsid w:val="7F753F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95F03"/>
    <w:pPr>
      <w:tabs>
        <w:tab w:val="center" w:pos="4153"/>
        <w:tab w:val="right" w:pos="8306"/>
      </w:tabs>
      <w:snapToGrid w:val="0"/>
      <w:jc w:val="left"/>
    </w:pPr>
    <w:rPr>
      <w:rFonts w:ascii="Times New Roman" w:hAnsi="Times New Roman"/>
      <w:sz w:val="18"/>
      <w:szCs w:val="18"/>
    </w:rPr>
  </w:style>
  <w:style w:type="character" w:customStyle="1" w:styleId="Char">
    <w:name w:val="页脚 Char"/>
    <w:basedOn w:val="a0"/>
    <w:link w:val="a3"/>
    <w:uiPriority w:val="99"/>
    <w:locked/>
    <w:rsid w:val="00F95F03"/>
    <w:rPr>
      <w:rFonts w:ascii="Times New Roman" w:eastAsia="宋体" w:hAnsi="Times New Roman" w:cs="Times New Roman"/>
      <w:sz w:val="18"/>
      <w:szCs w:val="18"/>
    </w:rPr>
  </w:style>
  <w:style w:type="paragraph" w:styleId="a4">
    <w:name w:val="header"/>
    <w:basedOn w:val="a"/>
    <w:link w:val="Char0"/>
    <w:uiPriority w:val="99"/>
    <w:rsid w:val="00F95F03"/>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basedOn w:val="a0"/>
    <w:link w:val="a4"/>
    <w:uiPriority w:val="99"/>
    <w:locked/>
    <w:rsid w:val="00F95F03"/>
    <w:rPr>
      <w:rFonts w:ascii="Times New Roman" w:eastAsia="宋体" w:hAnsi="Times New Roman" w:cs="Times New Roman"/>
      <w:sz w:val="18"/>
      <w:szCs w:val="18"/>
    </w:rPr>
  </w:style>
  <w:style w:type="paragraph" w:styleId="1">
    <w:name w:val="toc 1"/>
    <w:basedOn w:val="a"/>
    <w:next w:val="a"/>
    <w:uiPriority w:val="99"/>
    <w:rsid w:val="00F95F03"/>
    <w:rPr>
      <w:rFonts w:ascii="Times New Roman" w:hAnsi="Times New Roman"/>
      <w:szCs w:val="24"/>
    </w:rPr>
  </w:style>
  <w:style w:type="paragraph" w:styleId="2">
    <w:name w:val="toc 2"/>
    <w:basedOn w:val="a"/>
    <w:next w:val="a"/>
    <w:uiPriority w:val="99"/>
    <w:rsid w:val="00F95F03"/>
    <w:pPr>
      <w:ind w:leftChars="200" w:left="420"/>
    </w:pPr>
    <w:rPr>
      <w:rFonts w:ascii="Times New Roman" w:hAnsi="Times New Roman"/>
      <w:szCs w:val="24"/>
    </w:rPr>
  </w:style>
  <w:style w:type="paragraph" w:customStyle="1" w:styleId="Default">
    <w:name w:val="Default"/>
    <w:uiPriority w:val="99"/>
    <w:rsid w:val="00387DAF"/>
    <w:pPr>
      <w:widowControl w:val="0"/>
      <w:autoSpaceDE w:val="0"/>
      <w:autoSpaceDN w:val="0"/>
      <w:adjustRightInd w:val="0"/>
    </w:pPr>
    <w:rPr>
      <w:rFonts w:ascii="Times New Roman" w:hAnsi="Times New Roman"/>
      <w:color w:val="000000"/>
      <w:sz w:val="24"/>
      <w:szCs w:val="24"/>
    </w:rPr>
  </w:style>
  <w:style w:type="character" w:styleId="a5">
    <w:name w:val="footnote reference"/>
    <w:basedOn w:val="a0"/>
    <w:semiHidden/>
    <w:rsid w:val="00E337B8"/>
    <w:rPr>
      <w:vertAlign w:val="superscript"/>
    </w:rPr>
  </w:style>
  <w:style w:type="paragraph" w:styleId="a6">
    <w:name w:val="footnote text"/>
    <w:basedOn w:val="a"/>
    <w:link w:val="Char1"/>
    <w:semiHidden/>
    <w:rsid w:val="00E337B8"/>
    <w:pPr>
      <w:snapToGrid w:val="0"/>
      <w:jc w:val="left"/>
    </w:pPr>
    <w:rPr>
      <w:rFonts w:ascii="Times New Roman" w:hAnsi="Times New Roman"/>
      <w:sz w:val="18"/>
      <w:szCs w:val="18"/>
    </w:rPr>
  </w:style>
  <w:style w:type="character" w:customStyle="1" w:styleId="Char1">
    <w:name w:val="脚注文本 Char"/>
    <w:basedOn w:val="a0"/>
    <w:link w:val="a6"/>
    <w:semiHidden/>
    <w:rsid w:val="00E337B8"/>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26</Pages>
  <Words>1938</Words>
  <Characters>11050</Characters>
  <Application>Microsoft Office Word</Application>
  <DocSecurity>0</DocSecurity>
  <Lines>92</Lines>
  <Paragraphs>25</Paragraphs>
  <ScaleCrop>false</ScaleCrop>
  <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民政财务</cp:lastModifiedBy>
  <cp:revision>112</cp:revision>
  <dcterms:created xsi:type="dcterms:W3CDTF">2017-01-13T03:22:00Z</dcterms:created>
  <dcterms:modified xsi:type="dcterms:W3CDTF">2019-02-22T02:51:00Z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